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B33DE" w14:textId="4E61C075" w:rsidR="00EC7AE1" w:rsidRDefault="00EC7AE1" w:rsidP="00EC7AE1">
      <w:pPr>
        <w:tabs>
          <w:tab w:val="left" w:pos="2210"/>
        </w:tabs>
        <w:jc w:val="center"/>
        <w:rPr>
          <w:rFonts w:asciiTheme="majorHAnsi" w:eastAsiaTheme="majorEastAsia" w:hAnsiTheme="majorHAnsi" w:cstheme="majorBidi"/>
          <w:color w:val="2F5496" w:themeColor="accent1" w:themeShade="BF"/>
          <w:spacing w:val="-10"/>
          <w:sz w:val="52"/>
          <w:szCs w:val="52"/>
        </w:rPr>
      </w:pPr>
      <w:r w:rsidRPr="00EC7AE1">
        <w:rPr>
          <w:rFonts w:asciiTheme="majorHAnsi" w:eastAsiaTheme="majorEastAsia" w:hAnsiTheme="majorHAnsi" w:cstheme="majorBidi"/>
          <w:noProof/>
          <w:color w:val="2F5496" w:themeColor="accent1" w:themeShade="BF"/>
          <w:spacing w:val="-10"/>
          <w:sz w:val="52"/>
          <w:szCs w:val="52"/>
        </w:rPr>
        <mc:AlternateContent>
          <mc:Choice Requires="wps">
            <w:drawing>
              <wp:anchor distT="45720" distB="45720" distL="114300" distR="114300" simplePos="0" relativeHeight="251659264" behindDoc="0" locked="0" layoutInCell="1" allowOverlap="1" wp14:anchorId="420A0C23" wp14:editId="4A34FCFE">
                <wp:simplePos x="0" y="0"/>
                <wp:positionH relativeFrom="margin">
                  <wp:align>right</wp:align>
                </wp:positionH>
                <wp:positionV relativeFrom="paragraph">
                  <wp:posOffset>685800</wp:posOffset>
                </wp:positionV>
                <wp:extent cx="5591175" cy="3898900"/>
                <wp:effectExtent l="0" t="0" r="2857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3899139"/>
                        </a:xfrm>
                        <a:prstGeom prst="rect">
                          <a:avLst/>
                        </a:prstGeom>
                        <a:solidFill>
                          <a:srgbClr val="FFFFFF"/>
                        </a:solidFill>
                        <a:ln w="19050">
                          <a:solidFill>
                            <a:schemeClr val="accent1"/>
                          </a:solidFill>
                          <a:miter lim="800000"/>
                          <a:headEnd/>
                          <a:tailEnd/>
                        </a:ln>
                      </wps:spPr>
                      <wps:txbx>
                        <w:txbxContent>
                          <w:p w14:paraId="7A99312C" w14:textId="1830FA31" w:rsidR="00EC7AE1" w:rsidRPr="00053ACC" w:rsidRDefault="00EC7AE1" w:rsidP="00053ACC">
                            <w:pPr>
                              <w:rPr>
                                <w:rFonts w:asciiTheme="majorHAnsi" w:hAnsiTheme="majorHAnsi" w:cstheme="majorHAnsi"/>
                                <w:sz w:val="30"/>
                                <w:szCs w:val="30"/>
                              </w:rPr>
                            </w:pPr>
                            <w:r w:rsidRPr="00053ACC">
                              <w:rPr>
                                <w:rFonts w:asciiTheme="majorHAnsi" w:hAnsiTheme="majorHAnsi" w:cstheme="majorHAnsi"/>
                                <w:color w:val="2F5496" w:themeColor="accent1" w:themeShade="BF"/>
                                <w:sz w:val="30"/>
                                <w:szCs w:val="30"/>
                              </w:rPr>
                              <w:t>Summary</w:t>
                            </w:r>
                          </w:p>
                          <w:p w14:paraId="4DAA474C" w14:textId="0D566817" w:rsidR="00821A01" w:rsidRDefault="00E15963" w:rsidP="00821A01">
                            <w:pPr>
                              <w:spacing w:before="0" w:after="160" w:line="259" w:lineRule="auto"/>
                            </w:pPr>
                            <w:r>
                              <w:t>This policy</w:t>
                            </w:r>
                            <w:r w:rsidRPr="00E15963">
                              <w:t> outlines the company's commitment to maintaining the highest standards of integrity and ethical conduct. It emphasizes fostering a culture of integrity and transparency, with clear accountability and effective oversight through a Fraud Accountability Matrix. The policy also includes key policies and procedures, a robust fraud risk management framework, and comprehensive training programs to enhance employee awareness and competence in fraud prevention</w:t>
                            </w:r>
                            <w:r w:rsidR="00821A01" w:rsidRPr="00CE5FB6">
                              <w:t xml:space="preserve">. </w:t>
                            </w:r>
                          </w:p>
                          <w:p w14:paraId="187E1C88" w14:textId="77777777" w:rsidR="00821A01" w:rsidRPr="00EC7AE1" w:rsidRDefault="00821A01" w:rsidP="00821A01">
                            <w:pPr>
                              <w:spacing w:before="0" w:after="160" w:line="259" w:lineRule="auto"/>
                            </w:pPr>
                            <w:r w:rsidRPr="00EC7AE1">
                              <w:rPr>
                                <w:b/>
                                <w:bCs/>
                              </w:rPr>
                              <w:t>Scope:</w:t>
                            </w:r>
                            <w:r w:rsidRPr="00EC7AE1">
                              <w:t xml:space="preserve"> This global policy applies to all employees, contractors, suppliers, and third parties working on behalf of Elementis.</w:t>
                            </w:r>
                          </w:p>
                          <w:p w14:paraId="391952CA" w14:textId="77777777" w:rsidR="00821A01" w:rsidRPr="00EC7AE1" w:rsidRDefault="00821A01" w:rsidP="00821A01">
                            <w:pPr>
                              <w:spacing w:before="0" w:after="160" w:line="259" w:lineRule="auto"/>
                              <w:rPr>
                                <w:color w:val="2F5496" w:themeColor="accent1" w:themeShade="BF"/>
                              </w:rPr>
                            </w:pPr>
                            <w:r w:rsidRPr="00EC7AE1">
                              <w:rPr>
                                <w:b/>
                                <w:bCs/>
                                <w:color w:val="2F5496" w:themeColor="accent1" w:themeShade="BF"/>
                              </w:rPr>
                              <w:t>Core Commitments:</w:t>
                            </w:r>
                          </w:p>
                          <w:p w14:paraId="79CB633A" w14:textId="6F98C4B0" w:rsidR="00821A01" w:rsidRDefault="00203212" w:rsidP="00821A01">
                            <w:pPr>
                              <w:numPr>
                                <w:ilvl w:val="0"/>
                                <w:numId w:val="10"/>
                              </w:numPr>
                              <w:spacing w:before="0" w:after="0"/>
                            </w:pPr>
                            <w:r>
                              <w:t>Top Level Commitment</w:t>
                            </w:r>
                          </w:p>
                          <w:p w14:paraId="72D60B60" w14:textId="1B579BFC" w:rsidR="00203212" w:rsidRDefault="00A9645D" w:rsidP="00821A01">
                            <w:pPr>
                              <w:numPr>
                                <w:ilvl w:val="0"/>
                                <w:numId w:val="10"/>
                              </w:numPr>
                              <w:spacing w:before="0" w:after="0"/>
                            </w:pPr>
                            <w:r>
                              <w:t xml:space="preserve">Regular </w:t>
                            </w:r>
                            <w:r w:rsidR="00203212">
                              <w:t xml:space="preserve">Fraud Risk Assessment </w:t>
                            </w:r>
                          </w:p>
                          <w:p w14:paraId="46780C81" w14:textId="6BCD080B" w:rsidR="00A9645D" w:rsidRDefault="00A9645D" w:rsidP="00821A01">
                            <w:pPr>
                              <w:numPr>
                                <w:ilvl w:val="0"/>
                                <w:numId w:val="10"/>
                              </w:numPr>
                              <w:spacing w:before="0" w:after="0"/>
                            </w:pPr>
                            <w:r>
                              <w:t>Enhanced procedures for Due Diligence</w:t>
                            </w:r>
                          </w:p>
                          <w:p w14:paraId="174FC7E1" w14:textId="31EA8D3F" w:rsidR="00A9645D" w:rsidRDefault="00BE28EE" w:rsidP="00821A01">
                            <w:pPr>
                              <w:numPr>
                                <w:ilvl w:val="0"/>
                                <w:numId w:val="10"/>
                              </w:numPr>
                              <w:spacing w:before="0" w:after="0"/>
                            </w:pPr>
                            <w:r>
                              <w:t>Fraud Reporting Mechanisms</w:t>
                            </w:r>
                          </w:p>
                          <w:p w14:paraId="4D827F22" w14:textId="5FBD62FA" w:rsidR="00BE28EE" w:rsidRDefault="00BE28EE" w:rsidP="00821A01">
                            <w:pPr>
                              <w:numPr>
                                <w:ilvl w:val="0"/>
                                <w:numId w:val="10"/>
                              </w:numPr>
                              <w:spacing w:before="0" w:after="0"/>
                            </w:pPr>
                            <w:r>
                              <w:t>Training and Awareness</w:t>
                            </w:r>
                          </w:p>
                          <w:p w14:paraId="1477EC19" w14:textId="641BB87F" w:rsidR="00BE28EE" w:rsidRDefault="00BE28EE" w:rsidP="00821A01">
                            <w:pPr>
                              <w:numPr>
                                <w:ilvl w:val="0"/>
                                <w:numId w:val="10"/>
                              </w:numPr>
                              <w:spacing w:before="0" w:after="0"/>
                            </w:pPr>
                            <w:r>
                              <w:t>Ongoing Monutoring and Reporting</w:t>
                            </w:r>
                          </w:p>
                          <w:p w14:paraId="0AFC0FA8" w14:textId="23B85BEE" w:rsidR="00BE28EE" w:rsidRDefault="00BE28EE" w:rsidP="00821A01">
                            <w:pPr>
                              <w:numPr>
                                <w:ilvl w:val="0"/>
                                <w:numId w:val="10"/>
                              </w:numPr>
                              <w:spacing w:before="0" w:after="0"/>
                            </w:pPr>
                            <w:r>
                              <w:t>Promotion of an Ethical Culture in Business</w:t>
                            </w:r>
                          </w:p>
                          <w:p w14:paraId="58DB2D63" w14:textId="77777777" w:rsidR="00BE28EE" w:rsidRDefault="00BE28EE" w:rsidP="00821A01">
                            <w:pPr>
                              <w:numPr>
                                <w:ilvl w:val="0"/>
                                <w:numId w:val="10"/>
                              </w:numPr>
                              <w:spacing w:before="0" w:after="0"/>
                            </w:pPr>
                          </w:p>
                          <w:p w14:paraId="4FFD7EEA" w14:textId="77777777" w:rsidR="00EC7AE1" w:rsidRPr="00EC7AE1" w:rsidRDefault="00EC7AE1" w:rsidP="00AC5D23">
                            <w:pPr>
                              <w:spacing w:before="0" w:after="0" w:line="259" w:lineRule="auto"/>
                              <w:ind w:left="360"/>
                            </w:pPr>
                          </w:p>
                          <w:p w14:paraId="71F77DB0" w14:textId="09E299C3" w:rsidR="00EC7AE1" w:rsidRDefault="00EC7A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0A0C23" id="_x0000_t202" coordsize="21600,21600" o:spt="202" path="m,l,21600r21600,l21600,xe">
                <v:stroke joinstyle="miter"/>
                <v:path gradientshapeok="t" o:connecttype="rect"/>
              </v:shapetype>
              <v:shape id="Text Box 2" o:spid="_x0000_s1026" type="#_x0000_t202" style="position:absolute;left:0;text-align:left;margin-left:389.05pt;margin-top:54pt;width:440.25pt;height:30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qTgGgIAACQEAAAOAAAAZHJzL2Uyb0RvYy54bWysU9tu2zAMfR+wfxD0vthOkzU24hRdugwD&#10;ugvQ7QNkWY6FyaImKbGzry8lu2navQ3TgyCK0iF5eLi+GTpFjsI6Cbqk2SylRGgOtdT7kv78sXu3&#10;osR5pmumQIuSnoSjN5u3b9a9KcQcWlC1sARBtCt6U9LWe1MkieOt6JibgREanQ3Yjnk07T6pLesR&#10;vVPJPE3fJz3Y2ljgwjm8vRuddBPxm0Zw/61pnPBElRRz83G3ca/CnmzWrNhbZlrJpzTYP2TRMakx&#10;6BnqjnlGDlb+BdVJbsFB42ccugSaRnIRa8BqsvRVNQ8tMyLWguQ4c6bJ/T9Y/vX4YL5b4ocPMGAD&#10;YxHO3AP/5YiGbcv0XtxaC30rWI2Bs0BZ0htXTF8D1a5wAaTqv0CNTWYHDxFoaGwXWME6CaJjA05n&#10;0sXgCcfL5TLPsuslJRx9V6s8z67yGIMVT9+Ndf6TgI6EQ0ktdjXCs+O98yEdVjw9CdEcKFnvpFLR&#10;sPtqqyw5MlTALq4J/cUzpUmPxeXpMh0peIER1CjOKIxzof1IxKtonfQoZyW7kq7SsEaBBe4+6jqK&#10;zTOpxjOmrfREZuBvZNIP1YAPA6kV1Cek1cIoWxwzPLRg/1DSo2RL6n4fmBWUqM8aW5Nni0XQeDQW&#10;y+s5GvbSU116mOYIVVJPyXjc+jgXgTQNt9jCRkZynzOZckUpRs6nsQlav7Tjq+fh3jwCAAD//wMA&#10;UEsDBBQABgAIAAAAIQAwanm+3QAAAAgBAAAPAAAAZHJzL2Rvd25yZXYueG1sTI9BT8MwDIXvSPyH&#10;yEjcWLIioCpNpwnBZZeJDQlxSxvTVCRO1aRb+feYE9xsv6fn79WbJXhxwikNkTSsVwoEUhftQL2G&#10;t+PLTQkiZUPW+Eio4RsTbJrLi9pUNp7pFU+H3AsOoVQZDS7nsZIydQ6DSas4IrH2GadgMq9TL+1k&#10;zhwevCyUupfBDMQfnBnxyWH3dZiDhu2H7Zwf3/3yHOe22Nvd7Xq/0/r6atk+gsi45D8z/OIzOjTM&#10;1MaZbBJeAxfJfFUlDyyXpboD0Wp4KAoFsqnl/wLNDwAAAP//AwBQSwECLQAUAAYACAAAACEAtoM4&#10;kv4AAADhAQAAEwAAAAAAAAAAAAAAAAAAAAAAW0NvbnRlbnRfVHlwZXNdLnhtbFBLAQItABQABgAI&#10;AAAAIQA4/SH/1gAAAJQBAAALAAAAAAAAAAAAAAAAAC8BAABfcmVscy8ucmVsc1BLAQItABQABgAI&#10;AAAAIQBF4qTgGgIAACQEAAAOAAAAAAAAAAAAAAAAAC4CAABkcnMvZTJvRG9jLnhtbFBLAQItABQA&#10;BgAIAAAAIQAwanm+3QAAAAgBAAAPAAAAAAAAAAAAAAAAAHQEAABkcnMvZG93bnJldi54bWxQSwUG&#10;AAAAAAQABADzAAAAfgUAAAAA&#10;" strokecolor="#4472c4 [3204]" strokeweight="1.5pt">
                <v:textbox>
                  <w:txbxContent>
                    <w:p w14:paraId="7A99312C" w14:textId="1830FA31" w:rsidR="00EC7AE1" w:rsidRPr="00053ACC" w:rsidRDefault="00EC7AE1" w:rsidP="00053ACC">
                      <w:pPr>
                        <w:rPr>
                          <w:rFonts w:asciiTheme="majorHAnsi" w:hAnsiTheme="majorHAnsi" w:cstheme="majorHAnsi"/>
                          <w:sz w:val="30"/>
                          <w:szCs w:val="30"/>
                        </w:rPr>
                      </w:pPr>
                      <w:r w:rsidRPr="00053ACC">
                        <w:rPr>
                          <w:rFonts w:asciiTheme="majorHAnsi" w:hAnsiTheme="majorHAnsi" w:cstheme="majorHAnsi"/>
                          <w:color w:val="2F5496" w:themeColor="accent1" w:themeShade="BF"/>
                          <w:sz w:val="30"/>
                          <w:szCs w:val="30"/>
                        </w:rPr>
                        <w:t>Summary</w:t>
                      </w:r>
                    </w:p>
                    <w:p w14:paraId="4DAA474C" w14:textId="0D566817" w:rsidR="00821A01" w:rsidRDefault="00E15963" w:rsidP="00821A01">
                      <w:pPr>
                        <w:spacing w:before="0" w:after="160" w:line="259" w:lineRule="auto"/>
                      </w:pPr>
                      <w:r>
                        <w:t>This policy</w:t>
                      </w:r>
                      <w:r w:rsidRPr="00E15963">
                        <w:t> outlines the company's commitment to maintaining the highest standards of integrity and ethical conduct. It emphasizes fostering a culture of integrity and transparency, with clear accountability and effective oversight through a Fraud Accountability Matrix. The policy also includes key policies and procedures, a robust fraud risk management framework, and comprehensive training programs to enhance employee awareness and competence in fraud prevention</w:t>
                      </w:r>
                      <w:r w:rsidR="00821A01" w:rsidRPr="00CE5FB6">
                        <w:t xml:space="preserve">. </w:t>
                      </w:r>
                    </w:p>
                    <w:p w14:paraId="187E1C88" w14:textId="77777777" w:rsidR="00821A01" w:rsidRPr="00EC7AE1" w:rsidRDefault="00821A01" w:rsidP="00821A01">
                      <w:pPr>
                        <w:spacing w:before="0" w:after="160" w:line="259" w:lineRule="auto"/>
                      </w:pPr>
                      <w:r w:rsidRPr="00EC7AE1">
                        <w:rPr>
                          <w:b/>
                          <w:bCs/>
                        </w:rPr>
                        <w:t>Scope:</w:t>
                      </w:r>
                      <w:r w:rsidRPr="00EC7AE1">
                        <w:t xml:space="preserve"> This global policy applies to all employees, contractors, suppliers, and third parties working on behalf of Elementis.</w:t>
                      </w:r>
                    </w:p>
                    <w:p w14:paraId="391952CA" w14:textId="77777777" w:rsidR="00821A01" w:rsidRPr="00EC7AE1" w:rsidRDefault="00821A01" w:rsidP="00821A01">
                      <w:pPr>
                        <w:spacing w:before="0" w:after="160" w:line="259" w:lineRule="auto"/>
                        <w:rPr>
                          <w:color w:val="2F5496" w:themeColor="accent1" w:themeShade="BF"/>
                        </w:rPr>
                      </w:pPr>
                      <w:r w:rsidRPr="00EC7AE1">
                        <w:rPr>
                          <w:b/>
                          <w:bCs/>
                          <w:color w:val="2F5496" w:themeColor="accent1" w:themeShade="BF"/>
                        </w:rPr>
                        <w:t>Core Commitments:</w:t>
                      </w:r>
                    </w:p>
                    <w:p w14:paraId="79CB633A" w14:textId="6F98C4B0" w:rsidR="00821A01" w:rsidRDefault="00203212" w:rsidP="00821A01">
                      <w:pPr>
                        <w:numPr>
                          <w:ilvl w:val="0"/>
                          <w:numId w:val="10"/>
                        </w:numPr>
                        <w:spacing w:before="0" w:after="0"/>
                      </w:pPr>
                      <w:r>
                        <w:t>Top Level Commitment</w:t>
                      </w:r>
                    </w:p>
                    <w:p w14:paraId="72D60B60" w14:textId="1B579BFC" w:rsidR="00203212" w:rsidRDefault="00A9645D" w:rsidP="00821A01">
                      <w:pPr>
                        <w:numPr>
                          <w:ilvl w:val="0"/>
                          <w:numId w:val="10"/>
                        </w:numPr>
                        <w:spacing w:before="0" w:after="0"/>
                      </w:pPr>
                      <w:r>
                        <w:t xml:space="preserve">Regular </w:t>
                      </w:r>
                      <w:r w:rsidR="00203212">
                        <w:t xml:space="preserve">Fraud Risk Assessment </w:t>
                      </w:r>
                    </w:p>
                    <w:p w14:paraId="46780C81" w14:textId="6BCD080B" w:rsidR="00A9645D" w:rsidRDefault="00A9645D" w:rsidP="00821A01">
                      <w:pPr>
                        <w:numPr>
                          <w:ilvl w:val="0"/>
                          <w:numId w:val="10"/>
                        </w:numPr>
                        <w:spacing w:before="0" w:after="0"/>
                      </w:pPr>
                      <w:r>
                        <w:t>Enhanced procedures for Due Diligence</w:t>
                      </w:r>
                    </w:p>
                    <w:p w14:paraId="174FC7E1" w14:textId="31EA8D3F" w:rsidR="00A9645D" w:rsidRDefault="00BE28EE" w:rsidP="00821A01">
                      <w:pPr>
                        <w:numPr>
                          <w:ilvl w:val="0"/>
                          <w:numId w:val="10"/>
                        </w:numPr>
                        <w:spacing w:before="0" w:after="0"/>
                      </w:pPr>
                      <w:r>
                        <w:t>Fraud Reporting Mechanisms</w:t>
                      </w:r>
                    </w:p>
                    <w:p w14:paraId="4D827F22" w14:textId="5FBD62FA" w:rsidR="00BE28EE" w:rsidRDefault="00BE28EE" w:rsidP="00821A01">
                      <w:pPr>
                        <w:numPr>
                          <w:ilvl w:val="0"/>
                          <w:numId w:val="10"/>
                        </w:numPr>
                        <w:spacing w:before="0" w:after="0"/>
                      </w:pPr>
                      <w:r>
                        <w:t>Training and Awareness</w:t>
                      </w:r>
                    </w:p>
                    <w:p w14:paraId="1477EC19" w14:textId="641BB87F" w:rsidR="00BE28EE" w:rsidRDefault="00BE28EE" w:rsidP="00821A01">
                      <w:pPr>
                        <w:numPr>
                          <w:ilvl w:val="0"/>
                          <w:numId w:val="10"/>
                        </w:numPr>
                        <w:spacing w:before="0" w:after="0"/>
                      </w:pPr>
                      <w:r>
                        <w:t>Ongoing Monutoring and Reporting</w:t>
                      </w:r>
                    </w:p>
                    <w:p w14:paraId="0AFC0FA8" w14:textId="23B85BEE" w:rsidR="00BE28EE" w:rsidRDefault="00BE28EE" w:rsidP="00821A01">
                      <w:pPr>
                        <w:numPr>
                          <w:ilvl w:val="0"/>
                          <w:numId w:val="10"/>
                        </w:numPr>
                        <w:spacing w:before="0" w:after="0"/>
                      </w:pPr>
                      <w:r>
                        <w:t>Promotion of an Ethical Culture in Business</w:t>
                      </w:r>
                    </w:p>
                    <w:p w14:paraId="58DB2D63" w14:textId="77777777" w:rsidR="00BE28EE" w:rsidRDefault="00BE28EE" w:rsidP="00821A01">
                      <w:pPr>
                        <w:numPr>
                          <w:ilvl w:val="0"/>
                          <w:numId w:val="10"/>
                        </w:numPr>
                        <w:spacing w:before="0" w:after="0"/>
                      </w:pPr>
                    </w:p>
                    <w:p w14:paraId="4FFD7EEA" w14:textId="77777777" w:rsidR="00EC7AE1" w:rsidRPr="00EC7AE1" w:rsidRDefault="00EC7AE1" w:rsidP="00AC5D23">
                      <w:pPr>
                        <w:spacing w:before="0" w:after="0" w:line="259" w:lineRule="auto"/>
                        <w:ind w:left="360"/>
                      </w:pPr>
                    </w:p>
                    <w:p w14:paraId="71F77DB0" w14:textId="09E299C3" w:rsidR="00EC7AE1" w:rsidRDefault="00EC7AE1"/>
                  </w:txbxContent>
                </v:textbox>
                <w10:wrap type="square" anchorx="margin"/>
              </v:shape>
            </w:pict>
          </mc:Fallback>
        </mc:AlternateContent>
      </w:r>
      <w:r w:rsidR="003E7F0E" w:rsidRPr="003E7F0E">
        <w:rPr>
          <w:rFonts w:ascii="Arial Nova Light" w:hAnsi="Arial Nova Light"/>
          <w:b/>
          <w:bCs/>
          <w:kern w:val="2"/>
          <w:sz w:val="28"/>
          <w:szCs w:val="28"/>
          <w:lang w:val="en-GB" w:eastAsia="zh-CN"/>
          <w14:ligatures w14:val="standardContextual"/>
        </w:rPr>
        <w:t xml:space="preserve"> </w:t>
      </w:r>
      <w:r w:rsidR="003E7F0E" w:rsidRPr="003E7F0E">
        <w:rPr>
          <w:rFonts w:asciiTheme="majorHAnsi" w:eastAsiaTheme="majorEastAsia" w:hAnsiTheme="majorHAnsi" w:cstheme="majorBidi"/>
          <w:b/>
          <w:bCs/>
          <w:color w:val="2F5496" w:themeColor="accent1" w:themeShade="BF"/>
          <w:spacing w:val="-10"/>
          <w:sz w:val="52"/>
          <w:szCs w:val="52"/>
          <w:lang w:val="en-GB"/>
        </w:rPr>
        <w:t>Anti-Fraud and Corruption Policy</w:t>
      </w:r>
      <w:r w:rsidR="003E7F0E" w:rsidRPr="003E7F0E">
        <w:rPr>
          <w:rFonts w:asciiTheme="majorHAnsi" w:eastAsiaTheme="majorEastAsia" w:hAnsiTheme="majorHAnsi" w:cstheme="majorBidi"/>
          <w:color w:val="2F5496" w:themeColor="accent1" w:themeShade="BF"/>
          <w:spacing w:val="-10"/>
          <w:sz w:val="52"/>
          <w:szCs w:val="52"/>
        </w:rPr>
        <w:t xml:space="preserve"> </w:t>
      </w:r>
    </w:p>
    <w:p w14:paraId="00CA3171" w14:textId="77777777" w:rsidR="00EC7AE1" w:rsidRDefault="00EC7AE1" w:rsidP="002E09FF"/>
    <w:p w14:paraId="714078FB" w14:textId="77777777" w:rsidR="00EC7AE1" w:rsidRDefault="00EC7AE1" w:rsidP="002E09FF"/>
    <w:tbl>
      <w:tblPr>
        <w:tblStyle w:val="TableGrid"/>
        <w:tblW w:w="0" w:type="auto"/>
        <w:tblLook w:val="04A0" w:firstRow="1" w:lastRow="0" w:firstColumn="1" w:lastColumn="0" w:noHBand="0" w:noVBand="1"/>
      </w:tblPr>
      <w:tblGrid>
        <w:gridCol w:w="3116"/>
        <w:gridCol w:w="5384"/>
      </w:tblGrid>
      <w:tr w:rsidR="002E09FF" w14:paraId="607EAB46" w14:textId="77777777" w:rsidTr="000C52BF">
        <w:tc>
          <w:tcPr>
            <w:tcW w:w="3116" w:type="dxa"/>
            <w:vAlign w:val="bottom"/>
          </w:tcPr>
          <w:p w14:paraId="439DEC7C" w14:textId="77777777" w:rsidR="002E09FF" w:rsidRPr="00817408" w:rsidRDefault="002E09FF" w:rsidP="000C52BF">
            <w:pPr>
              <w:spacing w:before="0"/>
              <w:rPr>
                <w:color w:val="2F5496" w:themeColor="accent1" w:themeShade="BF"/>
              </w:rPr>
            </w:pPr>
            <w:r w:rsidRPr="00817408">
              <w:rPr>
                <w:color w:val="2F5496" w:themeColor="accent1" w:themeShade="BF"/>
              </w:rPr>
              <w:t>Applicable to:</w:t>
            </w:r>
          </w:p>
        </w:tc>
        <w:tc>
          <w:tcPr>
            <w:tcW w:w="5384" w:type="dxa"/>
          </w:tcPr>
          <w:p w14:paraId="1C861FCD" w14:textId="77777777" w:rsidR="002E09FF" w:rsidRDefault="002E09FF" w:rsidP="000C52BF">
            <w:pPr>
              <w:spacing w:before="0"/>
            </w:pPr>
            <w:r>
              <w:t>All Elementis (Global Policy)</w:t>
            </w:r>
          </w:p>
        </w:tc>
      </w:tr>
      <w:tr w:rsidR="002E09FF" w14:paraId="2602246A" w14:textId="77777777" w:rsidTr="000C52BF">
        <w:tc>
          <w:tcPr>
            <w:tcW w:w="3116" w:type="dxa"/>
            <w:vAlign w:val="bottom"/>
          </w:tcPr>
          <w:p w14:paraId="767D9848" w14:textId="77777777" w:rsidR="002E09FF" w:rsidRPr="00817408" w:rsidRDefault="002E09FF" w:rsidP="000C52BF">
            <w:pPr>
              <w:spacing w:before="0"/>
              <w:rPr>
                <w:color w:val="2F5496" w:themeColor="accent1" w:themeShade="BF"/>
              </w:rPr>
            </w:pPr>
            <w:r>
              <w:rPr>
                <w:color w:val="2F5496" w:themeColor="accent1" w:themeShade="BF"/>
              </w:rPr>
              <w:t xml:space="preserve">Version and </w:t>
            </w:r>
            <w:r w:rsidRPr="00817408">
              <w:rPr>
                <w:color w:val="2F5496" w:themeColor="accent1" w:themeShade="BF"/>
              </w:rPr>
              <w:t>Issue Date</w:t>
            </w:r>
            <w:r>
              <w:rPr>
                <w:color w:val="2F5496" w:themeColor="accent1" w:themeShade="BF"/>
              </w:rPr>
              <w:t xml:space="preserve"> </w:t>
            </w:r>
            <w:r w:rsidRPr="00817408">
              <w:rPr>
                <w:color w:val="2F5496" w:themeColor="accent1" w:themeShade="BF"/>
              </w:rPr>
              <w:t>:</w:t>
            </w:r>
          </w:p>
        </w:tc>
        <w:tc>
          <w:tcPr>
            <w:tcW w:w="5384" w:type="dxa"/>
          </w:tcPr>
          <w:p w14:paraId="4B480C06" w14:textId="62991E9E" w:rsidR="002E09FF" w:rsidRDefault="002E09FF" w:rsidP="000C52BF">
            <w:pPr>
              <w:spacing w:before="0"/>
            </w:pPr>
            <w:r>
              <w:t xml:space="preserve">Version </w:t>
            </w:r>
            <w:r w:rsidR="00997296">
              <w:t>1</w:t>
            </w:r>
            <w:r>
              <w:t xml:space="preserve">], </w:t>
            </w:r>
            <w:r w:rsidR="00E3540F">
              <w:t>13</w:t>
            </w:r>
            <w:r w:rsidR="00AE7CF2" w:rsidRPr="00AE7CF2">
              <w:rPr>
                <w:vertAlign w:val="superscript"/>
              </w:rPr>
              <w:t>th</w:t>
            </w:r>
            <w:r w:rsidR="00AE7CF2">
              <w:t xml:space="preserve"> May 2025</w:t>
            </w:r>
          </w:p>
        </w:tc>
      </w:tr>
      <w:tr w:rsidR="002E09FF" w14:paraId="7F9DC667" w14:textId="77777777" w:rsidTr="000C52BF">
        <w:tc>
          <w:tcPr>
            <w:tcW w:w="3116" w:type="dxa"/>
            <w:vAlign w:val="bottom"/>
          </w:tcPr>
          <w:p w14:paraId="3B3BAF01" w14:textId="77777777" w:rsidR="002E09FF" w:rsidRDefault="002E09FF" w:rsidP="000C52BF">
            <w:pPr>
              <w:spacing w:before="0"/>
              <w:rPr>
                <w:color w:val="2F5496" w:themeColor="accent1" w:themeShade="BF"/>
              </w:rPr>
            </w:pPr>
            <w:r>
              <w:rPr>
                <w:color w:val="2F5496" w:themeColor="accent1" w:themeShade="BF"/>
              </w:rPr>
              <w:t>Next review date:</w:t>
            </w:r>
          </w:p>
        </w:tc>
        <w:tc>
          <w:tcPr>
            <w:tcW w:w="5384" w:type="dxa"/>
          </w:tcPr>
          <w:p w14:paraId="7BB5918D" w14:textId="34209498" w:rsidR="002E09FF" w:rsidRDefault="00CD0F28" w:rsidP="000C52BF">
            <w:pPr>
              <w:spacing w:before="0"/>
            </w:pPr>
            <w:r>
              <w:t>TBD</w:t>
            </w:r>
          </w:p>
        </w:tc>
      </w:tr>
      <w:tr w:rsidR="002E09FF" w:rsidRPr="00C47F41" w14:paraId="7C7BC5E6" w14:textId="77777777" w:rsidTr="000C52BF">
        <w:tc>
          <w:tcPr>
            <w:tcW w:w="3116" w:type="dxa"/>
            <w:vAlign w:val="bottom"/>
          </w:tcPr>
          <w:p w14:paraId="62D16B1B" w14:textId="77777777" w:rsidR="002E09FF" w:rsidRPr="00817408" w:rsidRDefault="002E09FF" w:rsidP="000C52BF">
            <w:pPr>
              <w:spacing w:before="0"/>
              <w:rPr>
                <w:color w:val="2F5496" w:themeColor="accent1" w:themeShade="BF"/>
              </w:rPr>
            </w:pPr>
            <w:r>
              <w:rPr>
                <w:color w:val="2F5496" w:themeColor="accent1" w:themeShade="BF"/>
              </w:rPr>
              <w:t>Content</w:t>
            </w:r>
            <w:r w:rsidRPr="00817408">
              <w:rPr>
                <w:color w:val="2F5496" w:themeColor="accent1" w:themeShade="BF"/>
              </w:rPr>
              <w:t xml:space="preserve"> Owner:</w:t>
            </w:r>
          </w:p>
        </w:tc>
        <w:tc>
          <w:tcPr>
            <w:tcW w:w="5384" w:type="dxa"/>
          </w:tcPr>
          <w:p w14:paraId="1706D73C" w14:textId="60F16AFA" w:rsidR="002E09FF" w:rsidRPr="003E7F0E" w:rsidRDefault="00CD0F28" w:rsidP="000C52BF">
            <w:pPr>
              <w:spacing w:before="0"/>
              <w:rPr>
                <w:lang w:val="pt-PT"/>
              </w:rPr>
            </w:pPr>
            <w:r w:rsidRPr="003E7F0E">
              <w:rPr>
                <w:lang w:val="pt-PT"/>
              </w:rPr>
              <w:t>Fátima Correia da Silva, Global Head of Compliance</w:t>
            </w:r>
          </w:p>
        </w:tc>
      </w:tr>
      <w:tr w:rsidR="002E09FF" w14:paraId="098D279B" w14:textId="77777777" w:rsidTr="000C52BF">
        <w:tc>
          <w:tcPr>
            <w:tcW w:w="3116" w:type="dxa"/>
            <w:vAlign w:val="bottom"/>
          </w:tcPr>
          <w:p w14:paraId="33641618" w14:textId="77777777" w:rsidR="002E09FF" w:rsidRDefault="002E09FF" w:rsidP="000C52BF">
            <w:pPr>
              <w:spacing w:before="0"/>
              <w:rPr>
                <w:color w:val="2F5496" w:themeColor="accent1" w:themeShade="BF"/>
              </w:rPr>
            </w:pPr>
            <w:r>
              <w:rPr>
                <w:color w:val="2F5496" w:themeColor="accent1" w:themeShade="BF"/>
              </w:rPr>
              <w:t>ELT Sponsor</w:t>
            </w:r>
          </w:p>
        </w:tc>
        <w:tc>
          <w:tcPr>
            <w:tcW w:w="5384" w:type="dxa"/>
          </w:tcPr>
          <w:p w14:paraId="21B07535" w14:textId="2F053D6E" w:rsidR="002E09FF" w:rsidRDefault="00AE7CF2" w:rsidP="000C52BF">
            <w:pPr>
              <w:spacing w:before="0"/>
            </w:pPr>
            <w:r>
              <w:t>Lynton Boardman</w:t>
            </w:r>
            <w:r w:rsidR="00CD0F28">
              <w:t xml:space="preserve">, </w:t>
            </w:r>
            <w:r w:rsidR="00A01CAD">
              <w:t>Group General Counsel</w:t>
            </w:r>
            <w:r w:rsidR="002E09FF">
              <w:t xml:space="preserve"> </w:t>
            </w:r>
          </w:p>
        </w:tc>
      </w:tr>
      <w:tr w:rsidR="002E09FF" w14:paraId="7AFDE552" w14:textId="77777777" w:rsidTr="000C52BF">
        <w:tc>
          <w:tcPr>
            <w:tcW w:w="3116" w:type="dxa"/>
            <w:vAlign w:val="bottom"/>
          </w:tcPr>
          <w:p w14:paraId="07352560" w14:textId="77777777" w:rsidR="002E09FF" w:rsidRPr="00817408" w:rsidRDefault="002E09FF" w:rsidP="000C52BF">
            <w:pPr>
              <w:spacing w:before="0"/>
              <w:rPr>
                <w:color w:val="2F5496" w:themeColor="accent1" w:themeShade="BF"/>
              </w:rPr>
            </w:pPr>
            <w:r w:rsidRPr="00817408">
              <w:rPr>
                <w:color w:val="2F5496" w:themeColor="accent1" w:themeShade="BF"/>
              </w:rPr>
              <w:t>Approved by:</w:t>
            </w:r>
          </w:p>
        </w:tc>
        <w:tc>
          <w:tcPr>
            <w:tcW w:w="5384" w:type="dxa"/>
          </w:tcPr>
          <w:p w14:paraId="1CE792F8" w14:textId="303DB9DE" w:rsidR="002E09FF" w:rsidRDefault="00A01CAD" w:rsidP="000C52BF">
            <w:pPr>
              <w:spacing w:before="0"/>
            </w:pPr>
            <w:r>
              <w:t>ELT</w:t>
            </w:r>
          </w:p>
        </w:tc>
      </w:tr>
      <w:tr w:rsidR="002E09FF" w14:paraId="6C716B71" w14:textId="77777777" w:rsidTr="000C52BF">
        <w:tc>
          <w:tcPr>
            <w:tcW w:w="3116" w:type="dxa"/>
            <w:vAlign w:val="bottom"/>
          </w:tcPr>
          <w:p w14:paraId="79536196" w14:textId="77777777" w:rsidR="002E09FF" w:rsidRPr="00817408" w:rsidRDefault="002E09FF" w:rsidP="000C52BF">
            <w:pPr>
              <w:spacing w:before="0"/>
              <w:rPr>
                <w:color w:val="2F5496" w:themeColor="accent1" w:themeShade="BF"/>
              </w:rPr>
            </w:pPr>
            <w:r w:rsidRPr="00817408">
              <w:rPr>
                <w:color w:val="2F5496" w:themeColor="accent1" w:themeShade="BF"/>
              </w:rPr>
              <w:t>Policy identification number:</w:t>
            </w:r>
          </w:p>
        </w:tc>
        <w:tc>
          <w:tcPr>
            <w:tcW w:w="5384" w:type="dxa"/>
          </w:tcPr>
          <w:p w14:paraId="0ED3BFCA" w14:textId="3818AE08" w:rsidR="002E09FF" w:rsidRDefault="002E09FF" w:rsidP="000C52BF">
            <w:pPr>
              <w:spacing w:before="0"/>
            </w:pPr>
            <w:r>
              <w:t>[G-</w:t>
            </w:r>
            <w:r w:rsidR="00AE7CF2">
              <w:t>000-</w:t>
            </w:r>
            <w:r>
              <w:t>00</w:t>
            </w:r>
            <w:r w:rsidR="00AE7CF2">
              <w:t>2</w:t>
            </w:r>
            <w:r>
              <w:t>]</w:t>
            </w:r>
          </w:p>
        </w:tc>
      </w:tr>
    </w:tbl>
    <w:p w14:paraId="3882D0D1" w14:textId="534658BF" w:rsidR="002E09FF" w:rsidRDefault="002E09FF" w:rsidP="002E09FF"/>
    <w:p w14:paraId="5909538B" w14:textId="0A8F56F9" w:rsidR="00BE227F" w:rsidRDefault="00BE227F">
      <w:r>
        <w:br w:type="page"/>
      </w:r>
    </w:p>
    <w:p w14:paraId="4D162A1E" w14:textId="77777777" w:rsidR="00E5608B" w:rsidRDefault="00E5608B" w:rsidP="002E09FF"/>
    <w:sdt>
      <w:sdtPr>
        <w:rPr>
          <w:rFonts w:asciiTheme="minorHAnsi" w:eastAsiaTheme="minorEastAsia" w:hAnsiTheme="minorHAnsi" w:cstheme="minorBidi"/>
          <w:color w:val="auto"/>
          <w:sz w:val="22"/>
          <w:szCs w:val="22"/>
        </w:rPr>
        <w:id w:val="2025819123"/>
        <w:docPartObj>
          <w:docPartGallery w:val="Table of Contents"/>
          <w:docPartUnique/>
        </w:docPartObj>
      </w:sdtPr>
      <w:sdtEndPr>
        <w:rPr>
          <w:b/>
          <w:bCs/>
          <w:noProof/>
        </w:rPr>
      </w:sdtEndPr>
      <w:sdtContent>
        <w:p w14:paraId="26F59C99" w14:textId="7DE19CB9" w:rsidR="002E09FF" w:rsidRPr="000A7FC6" w:rsidRDefault="002E09FF" w:rsidP="002E09FF">
          <w:pPr>
            <w:pStyle w:val="TOCHeading"/>
          </w:pPr>
          <w:r w:rsidRPr="000A7FC6">
            <w:t>Contents</w:t>
          </w:r>
        </w:p>
        <w:p w14:paraId="064A0E90" w14:textId="711B0833" w:rsidR="00E43F4F" w:rsidRDefault="002E09FF">
          <w:pPr>
            <w:pStyle w:val="TOC1"/>
            <w:rPr>
              <w:noProof/>
              <w:kern w:val="2"/>
              <w:sz w:val="24"/>
              <w:szCs w:val="24"/>
              <w14:ligatures w14:val="standardContextual"/>
            </w:rPr>
          </w:pPr>
          <w:r w:rsidRPr="000A7FC6">
            <w:rPr>
              <w:color w:val="2F5496" w:themeColor="accent1" w:themeShade="BF"/>
            </w:rPr>
            <w:fldChar w:fldCharType="begin"/>
          </w:r>
          <w:r w:rsidRPr="000A7FC6">
            <w:rPr>
              <w:color w:val="2F5496" w:themeColor="accent1" w:themeShade="BF"/>
            </w:rPr>
            <w:instrText xml:space="preserve"> TOC \o "1-3" \h \z \u </w:instrText>
          </w:r>
          <w:r w:rsidRPr="000A7FC6">
            <w:rPr>
              <w:color w:val="2F5496" w:themeColor="accent1" w:themeShade="BF"/>
            </w:rPr>
            <w:fldChar w:fldCharType="separate"/>
          </w:r>
          <w:hyperlink w:anchor="_Toc196402316" w:history="1">
            <w:r w:rsidR="00E43F4F" w:rsidRPr="00486428">
              <w:rPr>
                <w:rStyle w:val="Hyperlink"/>
                <w:noProof/>
              </w:rPr>
              <w:t>1.</w:t>
            </w:r>
            <w:r w:rsidR="00E43F4F">
              <w:rPr>
                <w:noProof/>
                <w:kern w:val="2"/>
                <w:sz w:val="24"/>
                <w:szCs w:val="24"/>
                <w14:ligatures w14:val="standardContextual"/>
              </w:rPr>
              <w:tab/>
            </w:r>
            <w:r w:rsidR="00E43F4F" w:rsidRPr="00486428">
              <w:rPr>
                <w:rStyle w:val="Hyperlink"/>
                <w:noProof/>
              </w:rPr>
              <w:t>Purpose and Commitment</w:t>
            </w:r>
            <w:r w:rsidR="00E43F4F">
              <w:rPr>
                <w:noProof/>
                <w:webHidden/>
              </w:rPr>
              <w:tab/>
            </w:r>
            <w:r w:rsidR="00E43F4F">
              <w:rPr>
                <w:noProof/>
                <w:webHidden/>
              </w:rPr>
              <w:fldChar w:fldCharType="begin"/>
            </w:r>
            <w:r w:rsidR="00E43F4F">
              <w:rPr>
                <w:noProof/>
                <w:webHidden/>
              </w:rPr>
              <w:instrText xml:space="preserve"> PAGEREF _Toc196402316 \h </w:instrText>
            </w:r>
            <w:r w:rsidR="00E43F4F">
              <w:rPr>
                <w:noProof/>
                <w:webHidden/>
              </w:rPr>
            </w:r>
            <w:r w:rsidR="00E43F4F">
              <w:rPr>
                <w:noProof/>
                <w:webHidden/>
              </w:rPr>
              <w:fldChar w:fldCharType="separate"/>
            </w:r>
            <w:r w:rsidR="00E43F4F">
              <w:rPr>
                <w:noProof/>
                <w:webHidden/>
              </w:rPr>
              <w:t>3</w:t>
            </w:r>
            <w:r w:rsidR="00E43F4F">
              <w:rPr>
                <w:noProof/>
                <w:webHidden/>
              </w:rPr>
              <w:fldChar w:fldCharType="end"/>
            </w:r>
          </w:hyperlink>
        </w:p>
        <w:p w14:paraId="621D5B50" w14:textId="4384C125" w:rsidR="00E43F4F" w:rsidRDefault="00E43F4F">
          <w:pPr>
            <w:pStyle w:val="TOC1"/>
            <w:rPr>
              <w:noProof/>
              <w:kern w:val="2"/>
              <w:sz w:val="24"/>
              <w:szCs w:val="24"/>
              <w14:ligatures w14:val="standardContextual"/>
            </w:rPr>
          </w:pPr>
          <w:hyperlink w:anchor="_Toc196402317" w:history="1">
            <w:r w:rsidRPr="00486428">
              <w:rPr>
                <w:rStyle w:val="Hyperlink"/>
                <w:noProof/>
              </w:rPr>
              <w:t>2.</w:t>
            </w:r>
            <w:r>
              <w:rPr>
                <w:noProof/>
                <w:kern w:val="2"/>
                <w:sz w:val="24"/>
                <w:szCs w:val="24"/>
                <w14:ligatures w14:val="standardContextual"/>
              </w:rPr>
              <w:tab/>
            </w:r>
            <w:r w:rsidRPr="00486428">
              <w:rPr>
                <w:rStyle w:val="Hyperlink"/>
                <w:noProof/>
              </w:rPr>
              <w:t>Our Values</w:t>
            </w:r>
            <w:r>
              <w:rPr>
                <w:noProof/>
                <w:webHidden/>
              </w:rPr>
              <w:tab/>
            </w:r>
            <w:r>
              <w:rPr>
                <w:noProof/>
                <w:webHidden/>
              </w:rPr>
              <w:fldChar w:fldCharType="begin"/>
            </w:r>
            <w:r>
              <w:rPr>
                <w:noProof/>
                <w:webHidden/>
              </w:rPr>
              <w:instrText xml:space="preserve"> PAGEREF _Toc196402317 \h </w:instrText>
            </w:r>
            <w:r>
              <w:rPr>
                <w:noProof/>
                <w:webHidden/>
              </w:rPr>
            </w:r>
            <w:r>
              <w:rPr>
                <w:noProof/>
                <w:webHidden/>
              </w:rPr>
              <w:fldChar w:fldCharType="separate"/>
            </w:r>
            <w:r>
              <w:rPr>
                <w:noProof/>
                <w:webHidden/>
              </w:rPr>
              <w:t>3</w:t>
            </w:r>
            <w:r>
              <w:rPr>
                <w:noProof/>
                <w:webHidden/>
              </w:rPr>
              <w:fldChar w:fldCharType="end"/>
            </w:r>
          </w:hyperlink>
        </w:p>
        <w:p w14:paraId="1B450453" w14:textId="51FCB29F" w:rsidR="00E43F4F" w:rsidRDefault="00E43F4F">
          <w:pPr>
            <w:pStyle w:val="TOC1"/>
            <w:rPr>
              <w:noProof/>
              <w:kern w:val="2"/>
              <w:sz w:val="24"/>
              <w:szCs w:val="24"/>
              <w14:ligatures w14:val="standardContextual"/>
            </w:rPr>
          </w:pPr>
          <w:hyperlink w:anchor="_Toc196402318" w:history="1">
            <w:r w:rsidRPr="00486428">
              <w:rPr>
                <w:rStyle w:val="Hyperlink"/>
                <w:noProof/>
              </w:rPr>
              <w:t>3.</w:t>
            </w:r>
            <w:r>
              <w:rPr>
                <w:noProof/>
                <w:kern w:val="2"/>
                <w:sz w:val="24"/>
                <w:szCs w:val="24"/>
                <w14:ligatures w14:val="standardContextual"/>
              </w:rPr>
              <w:tab/>
            </w:r>
            <w:r w:rsidRPr="00486428">
              <w:rPr>
                <w:rStyle w:val="Hyperlink"/>
                <w:noProof/>
              </w:rPr>
              <w:t>Who does this Policy apply to?</w:t>
            </w:r>
            <w:r>
              <w:rPr>
                <w:noProof/>
                <w:webHidden/>
              </w:rPr>
              <w:tab/>
            </w:r>
            <w:r>
              <w:rPr>
                <w:noProof/>
                <w:webHidden/>
              </w:rPr>
              <w:fldChar w:fldCharType="begin"/>
            </w:r>
            <w:r>
              <w:rPr>
                <w:noProof/>
                <w:webHidden/>
              </w:rPr>
              <w:instrText xml:space="preserve"> PAGEREF _Toc196402318 \h </w:instrText>
            </w:r>
            <w:r>
              <w:rPr>
                <w:noProof/>
                <w:webHidden/>
              </w:rPr>
            </w:r>
            <w:r>
              <w:rPr>
                <w:noProof/>
                <w:webHidden/>
              </w:rPr>
              <w:fldChar w:fldCharType="separate"/>
            </w:r>
            <w:r>
              <w:rPr>
                <w:noProof/>
                <w:webHidden/>
              </w:rPr>
              <w:t>3</w:t>
            </w:r>
            <w:r>
              <w:rPr>
                <w:noProof/>
                <w:webHidden/>
              </w:rPr>
              <w:fldChar w:fldCharType="end"/>
            </w:r>
          </w:hyperlink>
        </w:p>
        <w:p w14:paraId="41C3AC15" w14:textId="1E1E31D7" w:rsidR="00E43F4F" w:rsidRDefault="00E43F4F">
          <w:pPr>
            <w:pStyle w:val="TOC1"/>
            <w:rPr>
              <w:noProof/>
              <w:kern w:val="2"/>
              <w:sz w:val="24"/>
              <w:szCs w:val="24"/>
              <w14:ligatures w14:val="standardContextual"/>
            </w:rPr>
          </w:pPr>
          <w:hyperlink w:anchor="_Toc196402319" w:history="1">
            <w:r w:rsidRPr="00486428">
              <w:rPr>
                <w:rStyle w:val="Hyperlink"/>
                <w:noProof/>
              </w:rPr>
              <w:t>4.</w:t>
            </w:r>
            <w:r>
              <w:rPr>
                <w:noProof/>
                <w:kern w:val="2"/>
                <w:sz w:val="24"/>
                <w:szCs w:val="24"/>
                <w14:ligatures w14:val="standardContextual"/>
              </w:rPr>
              <w:tab/>
            </w:r>
            <w:r w:rsidRPr="00486428">
              <w:rPr>
                <w:rStyle w:val="Hyperlink"/>
                <w:noProof/>
              </w:rPr>
              <w:t>Accountability Matrix</w:t>
            </w:r>
            <w:r>
              <w:rPr>
                <w:noProof/>
                <w:webHidden/>
              </w:rPr>
              <w:tab/>
            </w:r>
            <w:r>
              <w:rPr>
                <w:noProof/>
                <w:webHidden/>
              </w:rPr>
              <w:fldChar w:fldCharType="begin"/>
            </w:r>
            <w:r>
              <w:rPr>
                <w:noProof/>
                <w:webHidden/>
              </w:rPr>
              <w:instrText xml:space="preserve"> PAGEREF _Toc196402319 \h </w:instrText>
            </w:r>
            <w:r>
              <w:rPr>
                <w:noProof/>
                <w:webHidden/>
              </w:rPr>
            </w:r>
            <w:r>
              <w:rPr>
                <w:noProof/>
                <w:webHidden/>
              </w:rPr>
              <w:fldChar w:fldCharType="separate"/>
            </w:r>
            <w:r>
              <w:rPr>
                <w:noProof/>
                <w:webHidden/>
              </w:rPr>
              <w:t>3</w:t>
            </w:r>
            <w:r>
              <w:rPr>
                <w:noProof/>
                <w:webHidden/>
              </w:rPr>
              <w:fldChar w:fldCharType="end"/>
            </w:r>
          </w:hyperlink>
        </w:p>
        <w:p w14:paraId="0AAD89DC" w14:textId="7590350C" w:rsidR="00E43F4F" w:rsidRDefault="00E43F4F">
          <w:pPr>
            <w:pStyle w:val="TOC1"/>
            <w:rPr>
              <w:noProof/>
              <w:kern w:val="2"/>
              <w:sz w:val="24"/>
              <w:szCs w:val="24"/>
              <w14:ligatures w14:val="standardContextual"/>
            </w:rPr>
          </w:pPr>
          <w:hyperlink w:anchor="_Toc196402320" w:history="1">
            <w:r w:rsidRPr="00486428">
              <w:rPr>
                <w:rStyle w:val="Hyperlink"/>
                <w:noProof/>
              </w:rPr>
              <w:t>5.</w:t>
            </w:r>
            <w:r>
              <w:rPr>
                <w:noProof/>
                <w:kern w:val="2"/>
                <w:sz w:val="24"/>
                <w:szCs w:val="24"/>
                <w14:ligatures w14:val="standardContextual"/>
              </w:rPr>
              <w:tab/>
            </w:r>
            <w:r w:rsidRPr="00486428">
              <w:rPr>
                <w:rStyle w:val="Hyperlink"/>
                <w:noProof/>
              </w:rPr>
              <w:t>Key Policies and Procedures</w:t>
            </w:r>
            <w:r>
              <w:rPr>
                <w:noProof/>
                <w:webHidden/>
              </w:rPr>
              <w:tab/>
            </w:r>
            <w:r>
              <w:rPr>
                <w:noProof/>
                <w:webHidden/>
              </w:rPr>
              <w:fldChar w:fldCharType="begin"/>
            </w:r>
            <w:r>
              <w:rPr>
                <w:noProof/>
                <w:webHidden/>
              </w:rPr>
              <w:instrText xml:space="preserve"> PAGEREF _Toc196402320 \h </w:instrText>
            </w:r>
            <w:r>
              <w:rPr>
                <w:noProof/>
                <w:webHidden/>
              </w:rPr>
            </w:r>
            <w:r>
              <w:rPr>
                <w:noProof/>
                <w:webHidden/>
              </w:rPr>
              <w:fldChar w:fldCharType="separate"/>
            </w:r>
            <w:r>
              <w:rPr>
                <w:noProof/>
                <w:webHidden/>
              </w:rPr>
              <w:t>5</w:t>
            </w:r>
            <w:r>
              <w:rPr>
                <w:noProof/>
                <w:webHidden/>
              </w:rPr>
              <w:fldChar w:fldCharType="end"/>
            </w:r>
          </w:hyperlink>
        </w:p>
        <w:p w14:paraId="3E8E636F" w14:textId="3CFF08D1" w:rsidR="00E43F4F" w:rsidRDefault="00E43F4F">
          <w:pPr>
            <w:pStyle w:val="TOC1"/>
            <w:rPr>
              <w:noProof/>
              <w:kern w:val="2"/>
              <w:sz w:val="24"/>
              <w:szCs w:val="24"/>
              <w14:ligatures w14:val="standardContextual"/>
            </w:rPr>
          </w:pPr>
          <w:hyperlink w:anchor="_Toc196402321" w:history="1">
            <w:r w:rsidRPr="00486428">
              <w:rPr>
                <w:rStyle w:val="Hyperlink"/>
                <w:noProof/>
              </w:rPr>
              <w:t>6.</w:t>
            </w:r>
            <w:r>
              <w:rPr>
                <w:noProof/>
                <w:kern w:val="2"/>
                <w:sz w:val="24"/>
                <w:szCs w:val="24"/>
                <w14:ligatures w14:val="standardContextual"/>
              </w:rPr>
              <w:tab/>
            </w:r>
            <w:r w:rsidRPr="00486428">
              <w:rPr>
                <w:rStyle w:val="Hyperlink"/>
                <w:noProof/>
              </w:rPr>
              <w:t>Fraud Risk Management</w:t>
            </w:r>
            <w:r>
              <w:rPr>
                <w:noProof/>
                <w:webHidden/>
              </w:rPr>
              <w:tab/>
            </w:r>
            <w:r>
              <w:rPr>
                <w:noProof/>
                <w:webHidden/>
              </w:rPr>
              <w:fldChar w:fldCharType="begin"/>
            </w:r>
            <w:r>
              <w:rPr>
                <w:noProof/>
                <w:webHidden/>
              </w:rPr>
              <w:instrText xml:space="preserve"> PAGEREF _Toc196402321 \h </w:instrText>
            </w:r>
            <w:r>
              <w:rPr>
                <w:noProof/>
                <w:webHidden/>
              </w:rPr>
            </w:r>
            <w:r>
              <w:rPr>
                <w:noProof/>
                <w:webHidden/>
              </w:rPr>
              <w:fldChar w:fldCharType="separate"/>
            </w:r>
            <w:r>
              <w:rPr>
                <w:noProof/>
                <w:webHidden/>
              </w:rPr>
              <w:t>6</w:t>
            </w:r>
            <w:r>
              <w:rPr>
                <w:noProof/>
                <w:webHidden/>
              </w:rPr>
              <w:fldChar w:fldCharType="end"/>
            </w:r>
          </w:hyperlink>
        </w:p>
        <w:p w14:paraId="77898119" w14:textId="4FFE71F5" w:rsidR="00E43F4F" w:rsidRDefault="00E43F4F">
          <w:pPr>
            <w:pStyle w:val="TOC1"/>
            <w:rPr>
              <w:noProof/>
              <w:kern w:val="2"/>
              <w:sz w:val="24"/>
              <w:szCs w:val="24"/>
              <w14:ligatures w14:val="standardContextual"/>
            </w:rPr>
          </w:pPr>
          <w:hyperlink w:anchor="_Toc196402322" w:history="1">
            <w:r w:rsidRPr="00486428">
              <w:rPr>
                <w:rStyle w:val="Hyperlink"/>
                <w:noProof/>
              </w:rPr>
              <w:t>7.</w:t>
            </w:r>
            <w:r>
              <w:rPr>
                <w:noProof/>
                <w:kern w:val="2"/>
                <w:sz w:val="24"/>
                <w:szCs w:val="24"/>
                <w14:ligatures w14:val="standardContextual"/>
              </w:rPr>
              <w:tab/>
            </w:r>
            <w:r w:rsidRPr="00486428">
              <w:rPr>
                <w:rStyle w:val="Hyperlink"/>
                <w:noProof/>
              </w:rPr>
              <w:t>Training and Awareness</w:t>
            </w:r>
            <w:r>
              <w:rPr>
                <w:noProof/>
                <w:webHidden/>
              </w:rPr>
              <w:tab/>
            </w:r>
            <w:r>
              <w:rPr>
                <w:noProof/>
                <w:webHidden/>
              </w:rPr>
              <w:fldChar w:fldCharType="begin"/>
            </w:r>
            <w:r>
              <w:rPr>
                <w:noProof/>
                <w:webHidden/>
              </w:rPr>
              <w:instrText xml:space="preserve"> PAGEREF _Toc196402322 \h </w:instrText>
            </w:r>
            <w:r>
              <w:rPr>
                <w:noProof/>
                <w:webHidden/>
              </w:rPr>
            </w:r>
            <w:r>
              <w:rPr>
                <w:noProof/>
                <w:webHidden/>
              </w:rPr>
              <w:fldChar w:fldCharType="separate"/>
            </w:r>
            <w:r>
              <w:rPr>
                <w:noProof/>
                <w:webHidden/>
              </w:rPr>
              <w:t>6</w:t>
            </w:r>
            <w:r>
              <w:rPr>
                <w:noProof/>
                <w:webHidden/>
              </w:rPr>
              <w:fldChar w:fldCharType="end"/>
            </w:r>
          </w:hyperlink>
        </w:p>
        <w:p w14:paraId="712A8BDF" w14:textId="57286B6D" w:rsidR="00E43F4F" w:rsidRDefault="00E43F4F">
          <w:pPr>
            <w:pStyle w:val="TOC1"/>
            <w:rPr>
              <w:noProof/>
              <w:kern w:val="2"/>
              <w:sz w:val="24"/>
              <w:szCs w:val="24"/>
              <w14:ligatures w14:val="standardContextual"/>
            </w:rPr>
          </w:pPr>
          <w:hyperlink w:anchor="_Toc196402323" w:history="1">
            <w:r w:rsidRPr="00486428">
              <w:rPr>
                <w:rStyle w:val="Hyperlink"/>
                <w:noProof/>
              </w:rPr>
              <w:t>8.</w:t>
            </w:r>
            <w:r>
              <w:rPr>
                <w:noProof/>
                <w:kern w:val="2"/>
                <w:sz w:val="24"/>
                <w:szCs w:val="24"/>
                <w14:ligatures w14:val="standardContextual"/>
              </w:rPr>
              <w:tab/>
            </w:r>
            <w:r w:rsidRPr="00486428">
              <w:rPr>
                <w:rStyle w:val="Hyperlink"/>
                <w:noProof/>
              </w:rPr>
              <w:t>Reporting Concerns</w:t>
            </w:r>
            <w:r>
              <w:rPr>
                <w:noProof/>
                <w:webHidden/>
              </w:rPr>
              <w:tab/>
            </w:r>
            <w:r>
              <w:rPr>
                <w:noProof/>
                <w:webHidden/>
              </w:rPr>
              <w:fldChar w:fldCharType="begin"/>
            </w:r>
            <w:r>
              <w:rPr>
                <w:noProof/>
                <w:webHidden/>
              </w:rPr>
              <w:instrText xml:space="preserve"> PAGEREF _Toc196402323 \h </w:instrText>
            </w:r>
            <w:r>
              <w:rPr>
                <w:noProof/>
                <w:webHidden/>
              </w:rPr>
            </w:r>
            <w:r>
              <w:rPr>
                <w:noProof/>
                <w:webHidden/>
              </w:rPr>
              <w:fldChar w:fldCharType="separate"/>
            </w:r>
            <w:r>
              <w:rPr>
                <w:noProof/>
                <w:webHidden/>
              </w:rPr>
              <w:t>6</w:t>
            </w:r>
            <w:r>
              <w:rPr>
                <w:noProof/>
                <w:webHidden/>
              </w:rPr>
              <w:fldChar w:fldCharType="end"/>
            </w:r>
          </w:hyperlink>
        </w:p>
        <w:p w14:paraId="0844EA84" w14:textId="14A7D510" w:rsidR="00E43F4F" w:rsidRDefault="00E43F4F">
          <w:pPr>
            <w:pStyle w:val="TOC1"/>
            <w:rPr>
              <w:noProof/>
              <w:kern w:val="2"/>
              <w:sz w:val="24"/>
              <w:szCs w:val="24"/>
              <w14:ligatures w14:val="standardContextual"/>
            </w:rPr>
          </w:pPr>
          <w:hyperlink w:anchor="_Toc196402324" w:history="1">
            <w:r w:rsidRPr="00486428">
              <w:rPr>
                <w:rStyle w:val="Hyperlink"/>
                <w:noProof/>
              </w:rPr>
              <w:t>9.</w:t>
            </w:r>
            <w:r>
              <w:rPr>
                <w:noProof/>
                <w:kern w:val="2"/>
                <w:sz w:val="24"/>
                <w:szCs w:val="24"/>
                <w14:ligatures w14:val="standardContextual"/>
              </w:rPr>
              <w:tab/>
            </w:r>
            <w:r w:rsidRPr="00486428">
              <w:rPr>
                <w:rStyle w:val="Hyperlink"/>
                <w:noProof/>
              </w:rPr>
              <w:t>Implementation and Oversight</w:t>
            </w:r>
            <w:r>
              <w:rPr>
                <w:noProof/>
                <w:webHidden/>
              </w:rPr>
              <w:tab/>
            </w:r>
            <w:r>
              <w:rPr>
                <w:noProof/>
                <w:webHidden/>
              </w:rPr>
              <w:fldChar w:fldCharType="begin"/>
            </w:r>
            <w:r>
              <w:rPr>
                <w:noProof/>
                <w:webHidden/>
              </w:rPr>
              <w:instrText xml:space="preserve"> PAGEREF _Toc196402324 \h </w:instrText>
            </w:r>
            <w:r>
              <w:rPr>
                <w:noProof/>
                <w:webHidden/>
              </w:rPr>
            </w:r>
            <w:r>
              <w:rPr>
                <w:noProof/>
                <w:webHidden/>
              </w:rPr>
              <w:fldChar w:fldCharType="separate"/>
            </w:r>
            <w:r>
              <w:rPr>
                <w:noProof/>
                <w:webHidden/>
              </w:rPr>
              <w:t>7</w:t>
            </w:r>
            <w:r>
              <w:rPr>
                <w:noProof/>
                <w:webHidden/>
              </w:rPr>
              <w:fldChar w:fldCharType="end"/>
            </w:r>
          </w:hyperlink>
        </w:p>
        <w:p w14:paraId="56E59135" w14:textId="7FD90918" w:rsidR="00E43F4F" w:rsidRDefault="00E43F4F">
          <w:pPr>
            <w:pStyle w:val="TOC1"/>
            <w:rPr>
              <w:noProof/>
              <w:kern w:val="2"/>
              <w:sz w:val="24"/>
              <w:szCs w:val="24"/>
              <w14:ligatures w14:val="standardContextual"/>
            </w:rPr>
          </w:pPr>
          <w:hyperlink w:anchor="_Toc196402325" w:history="1">
            <w:r w:rsidRPr="00486428">
              <w:rPr>
                <w:rStyle w:val="Hyperlink"/>
                <w:noProof/>
              </w:rPr>
              <w:t>10.</w:t>
            </w:r>
            <w:r>
              <w:rPr>
                <w:noProof/>
                <w:kern w:val="2"/>
                <w:sz w:val="24"/>
                <w:szCs w:val="24"/>
                <w14:ligatures w14:val="standardContextual"/>
              </w:rPr>
              <w:tab/>
            </w:r>
            <w:r w:rsidRPr="00486428">
              <w:rPr>
                <w:rStyle w:val="Hyperlink"/>
                <w:noProof/>
              </w:rPr>
              <w:t>Conclusion</w:t>
            </w:r>
            <w:r>
              <w:rPr>
                <w:noProof/>
                <w:webHidden/>
              </w:rPr>
              <w:tab/>
            </w:r>
            <w:r>
              <w:rPr>
                <w:noProof/>
                <w:webHidden/>
              </w:rPr>
              <w:fldChar w:fldCharType="begin"/>
            </w:r>
            <w:r>
              <w:rPr>
                <w:noProof/>
                <w:webHidden/>
              </w:rPr>
              <w:instrText xml:space="preserve"> PAGEREF _Toc196402325 \h </w:instrText>
            </w:r>
            <w:r>
              <w:rPr>
                <w:noProof/>
                <w:webHidden/>
              </w:rPr>
            </w:r>
            <w:r>
              <w:rPr>
                <w:noProof/>
                <w:webHidden/>
              </w:rPr>
              <w:fldChar w:fldCharType="separate"/>
            </w:r>
            <w:r>
              <w:rPr>
                <w:noProof/>
                <w:webHidden/>
              </w:rPr>
              <w:t>7</w:t>
            </w:r>
            <w:r>
              <w:rPr>
                <w:noProof/>
                <w:webHidden/>
              </w:rPr>
              <w:fldChar w:fldCharType="end"/>
            </w:r>
          </w:hyperlink>
        </w:p>
        <w:p w14:paraId="21CDFF71" w14:textId="4000947E" w:rsidR="002E09FF" w:rsidRDefault="002E09FF" w:rsidP="002E09FF">
          <w:pPr>
            <w:rPr>
              <w:b/>
              <w:bCs/>
              <w:noProof/>
            </w:rPr>
          </w:pPr>
          <w:r w:rsidRPr="000A7FC6">
            <w:rPr>
              <w:b/>
              <w:bCs/>
              <w:noProof/>
              <w:color w:val="2F5496" w:themeColor="accent1" w:themeShade="BF"/>
            </w:rPr>
            <w:fldChar w:fldCharType="end"/>
          </w:r>
        </w:p>
        <w:p w14:paraId="76CD5E66" w14:textId="77777777" w:rsidR="002E09FF" w:rsidRDefault="0054101E" w:rsidP="002E09FF">
          <w:pPr>
            <w:rPr>
              <w:b/>
              <w:bCs/>
              <w:noProof/>
            </w:rPr>
          </w:pPr>
        </w:p>
      </w:sdtContent>
    </w:sdt>
    <w:p w14:paraId="0D806CD7" w14:textId="77777777" w:rsidR="002E09FF" w:rsidRDefault="002E09FF" w:rsidP="00EC7AE1">
      <w:pPr>
        <w:pStyle w:val="Heading1"/>
      </w:pPr>
    </w:p>
    <w:p w14:paraId="12DC3093" w14:textId="77777777" w:rsidR="002E09FF" w:rsidRPr="0025251F" w:rsidRDefault="002E09FF" w:rsidP="002E09FF">
      <w:pPr>
        <w:rPr>
          <w:rStyle w:val="IntenseEmphasis"/>
          <w:rFonts w:asciiTheme="majorHAnsi" w:eastAsiaTheme="majorEastAsia" w:hAnsiTheme="majorHAnsi" w:cstheme="majorBidi"/>
          <w:sz w:val="24"/>
          <w:szCs w:val="24"/>
        </w:rPr>
      </w:pPr>
    </w:p>
    <w:p w14:paraId="24404149" w14:textId="77777777" w:rsidR="002E09FF" w:rsidRDefault="002E09FF" w:rsidP="002E09FF"/>
    <w:p w14:paraId="1393C729" w14:textId="77777777" w:rsidR="002E09FF" w:rsidRDefault="002E09FF" w:rsidP="002E09FF"/>
    <w:p w14:paraId="1B9E7559" w14:textId="2908A842" w:rsidR="00BE227F" w:rsidRDefault="00BE227F">
      <w:pPr>
        <w:rPr>
          <w:rFonts w:asciiTheme="majorHAnsi" w:eastAsiaTheme="majorEastAsia" w:hAnsiTheme="majorHAnsi" w:cstheme="majorBidi"/>
          <w:color w:val="2F5496" w:themeColor="accent1" w:themeShade="BF"/>
          <w:sz w:val="30"/>
          <w:szCs w:val="30"/>
        </w:rPr>
      </w:pPr>
      <w:r>
        <w:br w:type="page"/>
      </w:r>
    </w:p>
    <w:p w14:paraId="6B5289E8" w14:textId="3237A415" w:rsidR="00B942E6" w:rsidRDefault="00AC5D23" w:rsidP="00053ACC">
      <w:pPr>
        <w:pStyle w:val="Heading1"/>
        <w:numPr>
          <w:ilvl w:val="0"/>
          <w:numId w:val="11"/>
        </w:numPr>
        <w:spacing w:before="320" w:line="240" w:lineRule="auto"/>
      </w:pPr>
      <w:bookmarkStart w:id="0" w:name="_Toc196402316"/>
      <w:r w:rsidRPr="00053ACC">
        <w:lastRenderedPageBreak/>
        <w:t>Purpose</w:t>
      </w:r>
      <w:r>
        <w:t xml:space="preserve"> and Commitment</w:t>
      </w:r>
      <w:bookmarkEnd w:id="0"/>
    </w:p>
    <w:p w14:paraId="26A19C22" w14:textId="77777777" w:rsidR="00F32B06" w:rsidRPr="00FF73E1" w:rsidRDefault="00F32B06" w:rsidP="00F32B06">
      <w:pPr>
        <w:spacing w:after="0" w:line="240" w:lineRule="auto"/>
      </w:pPr>
      <w:r w:rsidRPr="00FF73E1">
        <w:t>Elementis is committed to maintaining the highest standards of integrity and ethical conduct. This Anti-Fraud and Corruption Policy outlines our commitment to preventing, detecting, and responding to fraud and corruption within our organization. It serves as an umbrella policy that integrates and refers to all relevant policies aimed at combating fraud, including the Expenses Policy, Gifts and Entertainment Policy, and others. Our aim is to ensure full compliance with the Economic Crime and Corporate Transparency Act 2023 (ECCTA) guidelines.</w:t>
      </w:r>
    </w:p>
    <w:p w14:paraId="2143C9BA" w14:textId="77777777" w:rsidR="00FF73E1" w:rsidRPr="00FF73E1" w:rsidRDefault="00FF73E1" w:rsidP="00FF73E1">
      <w:pPr>
        <w:spacing w:after="0" w:line="240" w:lineRule="auto"/>
      </w:pPr>
      <w:r w:rsidRPr="00FF73E1">
        <w:t>At Elementis, we believe in fostering a culture of integrity and transparency. Our commitment to anti-fraud and corruption is unwavering, and we expect all employees, contractors, and business partners to adhere to the highest ethical standards. We are dedicated to creating an environment where fraud and corruption are not tolerated, and where everyone understands their role in preventing and addressing these issues.</w:t>
      </w:r>
    </w:p>
    <w:p w14:paraId="429D2290" w14:textId="3FBD9F79" w:rsidR="00FF73E1" w:rsidRPr="00FF73E1" w:rsidRDefault="00FF73E1" w:rsidP="00FF73E1">
      <w:pPr>
        <w:spacing w:after="0" w:line="240" w:lineRule="auto"/>
      </w:pPr>
      <w:r w:rsidRPr="00FF73E1">
        <w:t>We are here to support and propel our business forward, and we encourage your continued engagement and suggestions. Your ongoing feedback is essential as we progress.</w:t>
      </w:r>
    </w:p>
    <w:p w14:paraId="7CB229B9" w14:textId="77777777" w:rsidR="00B942E6" w:rsidRDefault="00AC5D23" w:rsidP="00053ACC">
      <w:pPr>
        <w:pStyle w:val="Heading1"/>
        <w:numPr>
          <w:ilvl w:val="0"/>
          <w:numId w:val="11"/>
        </w:numPr>
        <w:spacing w:before="320" w:line="240" w:lineRule="auto"/>
      </w:pPr>
      <w:bookmarkStart w:id="1" w:name="_Toc196402317"/>
      <w:r>
        <w:t>Our Values</w:t>
      </w:r>
      <w:bookmarkEnd w:id="1"/>
    </w:p>
    <w:p w14:paraId="59F7895A" w14:textId="77777777" w:rsidR="00B942E6" w:rsidRDefault="00AC5D23">
      <w:r>
        <w:t>At Elementis, our values guide our business, determine our success, and shape our culture. They are at the core of every decision we make. Our values are:</w:t>
      </w:r>
    </w:p>
    <w:p w14:paraId="085D384F" w14:textId="77777777" w:rsidR="00B942E6" w:rsidRDefault="00AC5D23" w:rsidP="000A7FC6">
      <w:pPr>
        <w:pStyle w:val="ListParagraph"/>
        <w:numPr>
          <w:ilvl w:val="0"/>
          <w:numId w:val="17"/>
        </w:numPr>
        <w:jc w:val="both"/>
      </w:pPr>
      <w:r>
        <w:t>Safety: Our Way of Life - We are committed to providing a safe environment for all.</w:t>
      </w:r>
    </w:p>
    <w:p w14:paraId="7B45F6C7" w14:textId="77777777" w:rsidR="00B942E6" w:rsidRDefault="00AC5D23" w:rsidP="000A7FC6">
      <w:pPr>
        <w:pStyle w:val="ListParagraph"/>
        <w:numPr>
          <w:ilvl w:val="0"/>
          <w:numId w:val="17"/>
        </w:numPr>
        <w:jc w:val="both"/>
      </w:pPr>
      <w:r>
        <w:t>Solutions: Creating Value for Our Customers - We make a difference through our expertise, responsiveness, and focus on quality.</w:t>
      </w:r>
    </w:p>
    <w:p w14:paraId="46192674" w14:textId="77777777" w:rsidR="00B942E6" w:rsidRDefault="00AC5D23" w:rsidP="000A7FC6">
      <w:pPr>
        <w:pStyle w:val="ListParagraph"/>
        <w:numPr>
          <w:ilvl w:val="0"/>
          <w:numId w:val="17"/>
        </w:numPr>
        <w:jc w:val="both"/>
      </w:pPr>
      <w:r>
        <w:t>Ambition: Passion for Excellence - We are innovative, courageous, and driven in everything we do.</w:t>
      </w:r>
    </w:p>
    <w:p w14:paraId="4DE51B36" w14:textId="77777777" w:rsidR="00B942E6" w:rsidRDefault="00AC5D23" w:rsidP="000A7FC6">
      <w:pPr>
        <w:pStyle w:val="ListParagraph"/>
        <w:numPr>
          <w:ilvl w:val="0"/>
          <w:numId w:val="17"/>
        </w:numPr>
        <w:jc w:val="both"/>
      </w:pPr>
      <w:r>
        <w:t>Respect: We Do the Right Thing - We care for our colleagues, customers, communities, and environment.</w:t>
      </w:r>
    </w:p>
    <w:p w14:paraId="6951D61C" w14:textId="77777777" w:rsidR="00B942E6" w:rsidRDefault="00AC5D23" w:rsidP="000A7FC6">
      <w:pPr>
        <w:pStyle w:val="ListParagraph"/>
        <w:numPr>
          <w:ilvl w:val="0"/>
          <w:numId w:val="17"/>
        </w:numPr>
        <w:jc w:val="both"/>
      </w:pPr>
      <w:r>
        <w:t>Team: The Power of Collaboration - We work, grow, and succeed together.</w:t>
      </w:r>
    </w:p>
    <w:p w14:paraId="038FD4CE" w14:textId="3869DE13" w:rsidR="00B942E6" w:rsidRPr="00053ACC" w:rsidRDefault="00821A01" w:rsidP="00053ACC">
      <w:pPr>
        <w:pStyle w:val="Heading1"/>
        <w:numPr>
          <w:ilvl w:val="0"/>
          <w:numId w:val="11"/>
        </w:numPr>
        <w:spacing w:before="320" w:line="240" w:lineRule="auto"/>
      </w:pPr>
      <w:bookmarkStart w:id="2" w:name="_Toc196402318"/>
      <w:r w:rsidRPr="00821A01">
        <w:t>Who does this Policy apply to?</w:t>
      </w:r>
      <w:bookmarkEnd w:id="2"/>
      <w:r w:rsidRPr="00053ACC">
        <w:t xml:space="preserve"> </w:t>
      </w:r>
    </w:p>
    <w:p w14:paraId="3FE39424" w14:textId="218932AD" w:rsidR="00B942E6" w:rsidRDefault="00AC5D23" w:rsidP="000A7FC6">
      <w:pPr>
        <w:jc w:val="both"/>
      </w:pPr>
      <w:r>
        <w:t xml:space="preserve">This policy applies to all Elementis employees, contractors, suppliers, and third parties working on behalf of the company. It underpins our Code of Conduct and Ethics, </w:t>
      </w:r>
      <w:r w:rsidR="00097BCB">
        <w:t>ensu</w:t>
      </w:r>
      <w:r w:rsidR="00326B14">
        <w:t>r</w:t>
      </w:r>
      <w:r w:rsidR="00097BCB">
        <w:t xml:space="preserve">ing </w:t>
      </w:r>
      <w:r w:rsidR="00097BCB" w:rsidRPr="00097BCB">
        <w:t>that all parties understand their roles and responsibilities in preventing, detecting, and responding to fraud and corruption within the organization</w:t>
      </w:r>
      <w:r>
        <w:t>.</w:t>
      </w:r>
    </w:p>
    <w:p w14:paraId="4DC2F4BA" w14:textId="7C85AEB3" w:rsidR="006D5135" w:rsidRDefault="006D5135" w:rsidP="00E43F4F">
      <w:pPr>
        <w:pStyle w:val="Heading1"/>
        <w:numPr>
          <w:ilvl w:val="0"/>
          <w:numId w:val="11"/>
        </w:numPr>
      </w:pPr>
      <w:bookmarkStart w:id="3" w:name="_Toc196402319"/>
      <w:r w:rsidRPr="006D5135">
        <w:t>Accountability Matrix</w:t>
      </w:r>
      <w:bookmarkEnd w:id="3"/>
      <w:r w:rsidRPr="006D5135">
        <w:t> </w:t>
      </w:r>
    </w:p>
    <w:p w14:paraId="1EBD7F3E" w14:textId="23A91BE5" w:rsidR="00981EF9" w:rsidRDefault="00981EF9" w:rsidP="00981EF9">
      <w:pPr>
        <w:spacing w:after="0" w:line="240" w:lineRule="auto"/>
      </w:pPr>
      <w:r w:rsidRPr="00981EF9">
        <w:t xml:space="preserve">To ensure clear accountability and effective oversight, we have established a Fraud Accountability Matrix. This matrix assigns specific fraud risk responsibilities to named individuals at both the </w:t>
      </w:r>
      <w:r w:rsidRPr="00981EF9">
        <w:lastRenderedPageBreak/>
        <w:t>Board and senior management levels. The matrix outlines the roles and responsibilities for fraud prevention, detection, and response, ensuring that all relevant parties are aware of their duties and obligations</w:t>
      </w:r>
      <w:r w:rsidR="00E460E1">
        <w:t>.</w:t>
      </w:r>
    </w:p>
    <w:p w14:paraId="75C41F0E" w14:textId="77777777" w:rsidR="00E460E1" w:rsidRPr="00981EF9" w:rsidRDefault="00E460E1" w:rsidP="00981EF9">
      <w:pPr>
        <w:spacing w:after="0" w:line="240" w:lineRule="auto"/>
      </w:pPr>
    </w:p>
    <w:tbl>
      <w:tblPr>
        <w:tblW w:w="8894" w:type="dxa"/>
        <w:tblBorders>
          <w:top w:val="single" w:sz="6" w:space="0" w:color="auto"/>
          <w:left w:val="single" w:sz="6" w:space="0" w:color="auto"/>
          <w:bottom w:val="single" w:sz="6" w:space="0" w:color="auto"/>
          <w:right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70"/>
        <w:gridCol w:w="3184"/>
        <w:gridCol w:w="2740"/>
      </w:tblGrid>
      <w:tr w:rsidR="00E460E1" w:rsidRPr="008547E6" w14:paraId="5FABAAF0" w14:textId="77777777" w:rsidTr="00E460E1">
        <w:trPr>
          <w:trHeight w:val="601"/>
          <w:tblHeader/>
        </w:trPr>
        <w:tc>
          <w:tcPr>
            <w:tcW w:w="0" w:type="auto"/>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4CF7426E" w14:textId="77777777" w:rsidR="00E460E1" w:rsidRPr="00E460E1" w:rsidRDefault="00E460E1" w:rsidP="00E10A32">
            <w:pPr>
              <w:jc w:val="both"/>
              <w:rPr>
                <w:rFonts w:cstheme="minorHAnsi"/>
                <w:b/>
                <w:bCs/>
                <w:color w:val="4472C4" w:themeColor="accent1"/>
              </w:rPr>
            </w:pPr>
            <w:r w:rsidRPr="00E460E1">
              <w:rPr>
                <w:rFonts w:cstheme="minorHAnsi"/>
                <w:b/>
                <w:bCs/>
                <w:color w:val="4472C4" w:themeColor="accent1"/>
              </w:rPr>
              <w:t>Task/Activity</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44BC4AEE" w14:textId="77777777" w:rsidR="00E460E1" w:rsidRPr="00E460E1" w:rsidRDefault="00E460E1" w:rsidP="00E10A32">
            <w:pPr>
              <w:jc w:val="both"/>
              <w:rPr>
                <w:rFonts w:cstheme="minorHAnsi"/>
                <w:b/>
                <w:bCs/>
                <w:color w:val="4472C4" w:themeColor="accent1"/>
              </w:rPr>
            </w:pPr>
            <w:r w:rsidRPr="00E460E1">
              <w:rPr>
                <w:rFonts w:cstheme="minorHAnsi"/>
                <w:b/>
                <w:bCs/>
                <w:color w:val="4472C4" w:themeColor="accent1"/>
              </w:rPr>
              <w:t>Responsible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0693658E" w14:textId="77777777" w:rsidR="00E460E1" w:rsidRPr="00E460E1" w:rsidRDefault="00E460E1" w:rsidP="00E10A32">
            <w:pPr>
              <w:jc w:val="both"/>
              <w:rPr>
                <w:rFonts w:cstheme="minorHAnsi"/>
                <w:b/>
                <w:bCs/>
                <w:color w:val="4472C4" w:themeColor="accent1"/>
              </w:rPr>
            </w:pPr>
            <w:r w:rsidRPr="00E460E1">
              <w:rPr>
                <w:rFonts w:cstheme="minorHAnsi"/>
                <w:b/>
                <w:bCs/>
                <w:color w:val="4472C4" w:themeColor="accent1"/>
              </w:rPr>
              <w:t>Accountable</w:t>
            </w:r>
          </w:p>
        </w:tc>
      </w:tr>
      <w:tr w:rsidR="00E460E1" w:rsidRPr="008547E6" w14:paraId="7449994C" w14:textId="77777777" w:rsidTr="00E460E1">
        <w:trPr>
          <w:trHeight w:val="1165"/>
        </w:trPr>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75" w:type="dxa"/>
              <w:bottom w:w="15" w:type="dxa"/>
              <w:right w:w="75" w:type="dxa"/>
            </w:tcMar>
            <w:vAlign w:val="center"/>
            <w:hideMark/>
          </w:tcPr>
          <w:p w14:paraId="57C9956C" w14:textId="77777777" w:rsidR="00E460E1" w:rsidRPr="00E460E1" w:rsidRDefault="00E460E1" w:rsidP="00E10A32">
            <w:pPr>
              <w:rPr>
                <w:rFonts w:cstheme="minorHAnsi"/>
              </w:rPr>
            </w:pPr>
            <w:r w:rsidRPr="00E460E1">
              <w:rPr>
                <w:rFonts w:cstheme="minorHAnsi"/>
              </w:rPr>
              <w:t>Top-Level Commitment</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75" w:type="dxa"/>
              <w:bottom w:w="15" w:type="dxa"/>
              <w:right w:w="75" w:type="dxa"/>
            </w:tcMar>
            <w:vAlign w:val="center"/>
            <w:hideMark/>
          </w:tcPr>
          <w:p w14:paraId="6B764113" w14:textId="77777777" w:rsidR="00E460E1" w:rsidRPr="00E460E1" w:rsidRDefault="00E460E1" w:rsidP="00E10A32">
            <w:pPr>
              <w:rPr>
                <w:rFonts w:cstheme="minorHAnsi"/>
              </w:rPr>
            </w:pPr>
            <w:r w:rsidRPr="00E460E1">
              <w:rPr>
                <w:rFonts w:cstheme="minorHAnsi"/>
              </w:rPr>
              <w:t>Board of Directors and ELT</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75" w:type="dxa"/>
              <w:bottom w:w="15" w:type="dxa"/>
              <w:right w:w="75" w:type="dxa"/>
            </w:tcMar>
            <w:vAlign w:val="center"/>
            <w:hideMark/>
          </w:tcPr>
          <w:p w14:paraId="32AB64DF" w14:textId="07F1D532" w:rsidR="00E460E1" w:rsidRPr="00E460E1" w:rsidRDefault="00097E38" w:rsidP="00E10A32">
            <w:pPr>
              <w:rPr>
                <w:rFonts w:cstheme="minorHAnsi"/>
              </w:rPr>
            </w:pPr>
            <w:r>
              <w:rPr>
                <w:rFonts w:cstheme="minorHAnsi"/>
              </w:rPr>
              <w:t>CEO</w:t>
            </w:r>
          </w:p>
        </w:tc>
      </w:tr>
      <w:tr w:rsidR="00E460E1" w:rsidRPr="008547E6" w14:paraId="4CEEDAE3" w14:textId="77777777" w:rsidTr="00E460E1">
        <w:trPr>
          <w:trHeight w:val="601"/>
        </w:trPr>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75" w:type="dxa"/>
              <w:bottom w:w="15" w:type="dxa"/>
              <w:right w:w="75" w:type="dxa"/>
            </w:tcMar>
            <w:vAlign w:val="center"/>
            <w:hideMark/>
          </w:tcPr>
          <w:p w14:paraId="468AF417" w14:textId="77777777" w:rsidR="00E460E1" w:rsidRPr="00E460E1" w:rsidRDefault="00E460E1" w:rsidP="00E10A32">
            <w:pPr>
              <w:rPr>
                <w:rFonts w:cstheme="minorHAnsi"/>
              </w:rPr>
            </w:pPr>
            <w:r w:rsidRPr="00E460E1">
              <w:rPr>
                <w:rFonts w:cstheme="minorHAnsi"/>
              </w:rPr>
              <w:t>Fraud Risk Assessment</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75" w:type="dxa"/>
              <w:bottom w:w="15" w:type="dxa"/>
              <w:right w:w="75" w:type="dxa"/>
            </w:tcMar>
            <w:vAlign w:val="center"/>
            <w:hideMark/>
          </w:tcPr>
          <w:p w14:paraId="5BC2FD61" w14:textId="77777777" w:rsidR="00E460E1" w:rsidRPr="00E460E1" w:rsidRDefault="00E460E1" w:rsidP="00E10A32">
            <w:pPr>
              <w:rPr>
                <w:rFonts w:cstheme="minorHAnsi"/>
              </w:rPr>
            </w:pPr>
            <w:r w:rsidRPr="00E460E1">
              <w:rPr>
                <w:rFonts w:cstheme="minorHAnsi"/>
              </w:rPr>
              <w:t>Head of Risks and Controls</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75" w:type="dxa"/>
              <w:bottom w:w="15" w:type="dxa"/>
              <w:right w:w="75" w:type="dxa"/>
            </w:tcMar>
            <w:vAlign w:val="center"/>
            <w:hideMark/>
          </w:tcPr>
          <w:p w14:paraId="627F6913" w14:textId="77777777" w:rsidR="00E460E1" w:rsidRPr="00E460E1" w:rsidRDefault="00E460E1" w:rsidP="00E10A32">
            <w:pPr>
              <w:rPr>
                <w:rFonts w:cstheme="minorHAnsi"/>
              </w:rPr>
            </w:pPr>
            <w:r w:rsidRPr="00E460E1">
              <w:rPr>
                <w:rFonts w:cstheme="minorHAnsi"/>
              </w:rPr>
              <w:t>ELT</w:t>
            </w:r>
          </w:p>
        </w:tc>
      </w:tr>
      <w:tr w:rsidR="00E460E1" w:rsidRPr="008547E6" w14:paraId="45434F51" w14:textId="77777777" w:rsidTr="00E460E1">
        <w:trPr>
          <w:trHeight w:val="882"/>
        </w:trPr>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75" w:type="dxa"/>
              <w:bottom w:w="15" w:type="dxa"/>
              <w:right w:w="75" w:type="dxa"/>
            </w:tcMar>
            <w:vAlign w:val="center"/>
            <w:hideMark/>
          </w:tcPr>
          <w:p w14:paraId="02502045" w14:textId="77777777" w:rsidR="00E460E1" w:rsidRPr="00E460E1" w:rsidRDefault="00E460E1" w:rsidP="00E10A32">
            <w:pPr>
              <w:rPr>
                <w:rFonts w:cstheme="minorHAnsi"/>
              </w:rPr>
            </w:pPr>
            <w:r w:rsidRPr="00E460E1">
              <w:rPr>
                <w:rFonts w:cstheme="minorHAnsi"/>
              </w:rPr>
              <w:t>Due Diligence Enhancements</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75" w:type="dxa"/>
              <w:bottom w:w="15" w:type="dxa"/>
              <w:right w:w="75" w:type="dxa"/>
            </w:tcMar>
            <w:vAlign w:val="center"/>
            <w:hideMark/>
          </w:tcPr>
          <w:p w14:paraId="56F29676" w14:textId="77777777" w:rsidR="00E460E1" w:rsidRPr="00E460E1" w:rsidRDefault="00E460E1" w:rsidP="00E10A32">
            <w:pPr>
              <w:rPr>
                <w:rFonts w:cstheme="minorHAnsi"/>
              </w:rPr>
            </w:pPr>
            <w:r w:rsidRPr="00E460E1">
              <w:rPr>
                <w:rFonts w:cstheme="minorHAnsi"/>
              </w:rPr>
              <w:t>General Counsel; Legal &amp; Compliance Team</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75" w:type="dxa"/>
              <w:bottom w:w="15" w:type="dxa"/>
              <w:right w:w="75" w:type="dxa"/>
            </w:tcMar>
            <w:vAlign w:val="center"/>
            <w:hideMark/>
          </w:tcPr>
          <w:p w14:paraId="33830AD5" w14:textId="77777777" w:rsidR="00E460E1" w:rsidRPr="00E460E1" w:rsidRDefault="00E460E1" w:rsidP="00E10A32">
            <w:pPr>
              <w:rPr>
                <w:rFonts w:cstheme="minorHAnsi"/>
              </w:rPr>
            </w:pPr>
            <w:r w:rsidRPr="00E460E1">
              <w:rPr>
                <w:rFonts w:cstheme="minorHAnsi"/>
              </w:rPr>
              <w:t>ELT</w:t>
            </w:r>
          </w:p>
        </w:tc>
      </w:tr>
      <w:tr w:rsidR="00E460E1" w:rsidRPr="008547E6" w14:paraId="4B76BCB5" w14:textId="77777777" w:rsidTr="00E460E1">
        <w:trPr>
          <w:trHeight w:val="601"/>
        </w:trPr>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75" w:type="dxa"/>
              <w:bottom w:w="15" w:type="dxa"/>
              <w:right w:w="75" w:type="dxa"/>
            </w:tcMar>
            <w:vAlign w:val="center"/>
            <w:hideMark/>
          </w:tcPr>
          <w:p w14:paraId="4246AA45" w14:textId="77777777" w:rsidR="00E460E1" w:rsidRPr="00E460E1" w:rsidRDefault="00E460E1" w:rsidP="00E10A32">
            <w:pPr>
              <w:rPr>
                <w:rFonts w:cstheme="minorHAnsi"/>
              </w:rPr>
            </w:pPr>
            <w:r w:rsidRPr="00E460E1">
              <w:rPr>
                <w:rFonts w:cstheme="minorHAnsi"/>
              </w:rPr>
              <w:t>Fraud Reporting Mechanism</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75" w:type="dxa"/>
              <w:bottom w:w="15" w:type="dxa"/>
              <w:right w:w="75" w:type="dxa"/>
            </w:tcMar>
            <w:vAlign w:val="center"/>
            <w:hideMark/>
          </w:tcPr>
          <w:p w14:paraId="2BFEFCB9" w14:textId="77777777" w:rsidR="00E460E1" w:rsidRPr="00E460E1" w:rsidRDefault="00E460E1" w:rsidP="00E10A32">
            <w:pPr>
              <w:rPr>
                <w:rFonts w:cstheme="minorHAnsi"/>
              </w:rPr>
            </w:pPr>
            <w:r w:rsidRPr="00E460E1">
              <w:rPr>
                <w:rFonts w:cstheme="minorHAnsi"/>
              </w:rPr>
              <w:t>Legal &amp; Compliance Team</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75" w:type="dxa"/>
              <w:bottom w:w="15" w:type="dxa"/>
              <w:right w:w="75" w:type="dxa"/>
            </w:tcMar>
            <w:vAlign w:val="center"/>
            <w:hideMark/>
          </w:tcPr>
          <w:p w14:paraId="70320F02" w14:textId="77777777" w:rsidR="00E460E1" w:rsidRPr="00E460E1" w:rsidRDefault="00E460E1" w:rsidP="00E10A32">
            <w:pPr>
              <w:rPr>
                <w:rFonts w:cstheme="minorHAnsi"/>
              </w:rPr>
            </w:pPr>
            <w:r w:rsidRPr="00E460E1">
              <w:rPr>
                <w:rFonts w:cstheme="minorHAnsi"/>
              </w:rPr>
              <w:t>General Counsel</w:t>
            </w:r>
          </w:p>
        </w:tc>
      </w:tr>
      <w:tr w:rsidR="00E460E1" w:rsidRPr="008547E6" w14:paraId="2B3B9523" w14:textId="77777777" w:rsidTr="00E460E1">
        <w:trPr>
          <w:trHeight w:val="612"/>
        </w:trPr>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75" w:type="dxa"/>
              <w:bottom w:w="15" w:type="dxa"/>
              <w:right w:w="75" w:type="dxa"/>
            </w:tcMar>
            <w:vAlign w:val="center"/>
            <w:hideMark/>
          </w:tcPr>
          <w:p w14:paraId="253244B2" w14:textId="77777777" w:rsidR="00E460E1" w:rsidRPr="00E460E1" w:rsidRDefault="00E460E1" w:rsidP="00E10A32">
            <w:pPr>
              <w:rPr>
                <w:rFonts w:cstheme="minorHAnsi"/>
              </w:rPr>
            </w:pPr>
            <w:r w:rsidRPr="00E460E1">
              <w:rPr>
                <w:rFonts w:cstheme="minorHAnsi"/>
              </w:rPr>
              <w:t>Training and Awareness</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75" w:type="dxa"/>
              <w:bottom w:w="15" w:type="dxa"/>
              <w:right w:w="75" w:type="dxa"/>
            </w:tcMar>
            <w:vAlign w:val="center"/>
            <w:hideMark/>
          </w:tcPr>
          <w:p w14:paraId="14822B72" w14:textId="53862011" w:rsidR="00E460E1" w:rsidRPr="00E460E1" w:rsidRDefault="00097E38" w:rsidP="00E10A32">
            <w:pPr>
              <w:rPr>
                <w:rFonts w:cstheme="minorHAnsi"/>
              </w:rPr>
            </w:pPr>
            <w:r w:rsidRPr="00E460E1">
              <w:rPr>
                <w:rFonts w:cstheme="minorHAnsi"/>
              </w:rPr>
              <w:t>Legal &amp; Compliance Team</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75" w:type="dxa"/>
              <w:bottom w:w="15" w:type="dxa"/>
              <w:right w:w="75" w:type="dxa"/>
            </w:tcMar>
            <w:vAlign w:val="center"/>
            <w:hideMark/>
          </w:tcPr>
          <w:p w14:paraId="60C97287" w14:textId="77777777" w:rsidR="00E460E1" w:rsidRPr="00E460E1" w:rsidRDefault="00E460E1" w:rsidP="00E10A32">
            <w:pPr>
              <w:rPr>
                <w:rFonts w:cstheme="minorHAnsi"/>
              </w:rPr>
            </w:pPr>
            <w:r w:rsidRPr="00E460E1">
              <w:rPr>
                <w:rFonts w:cstheme="minorHAnsi"/>
              </w:rPr>
              <w:t>Global Head of Compliance</w:t>
            </w:r>
          </w:p>
        </w:tc>
      </w:tr>
      <w:tr w:rsidR="00E460E1" w:rsidRPr="008547E6" w14:paraId="09CDAFCD" w14:textId="77777777" w:rsidTr="00E460E1">
        <w:trPr>
          <w:trHeight w:val="601"/>
        </w:trPr>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75" w:type="dxa"/>
              <w:bottom w:w="15" w:type="dxa"/>
              <w:right w:w="75" w:type="dxa"/>
            </w:tcMar>
            <w:vAlign w:val="center"/>
            <w:hideMark/>
          </w:tcPr>
          <w:p w14:paraId="27D52F5E" w14:textId="77777777" w:rsidR="00E460E1" w:rsidRPr="00E460E1" w:rsidRDefault="00E460E1" w:rsidP="00E10A32">
            <w:pPr>
              <w:rPr>
                <w:rFonts w:cstheme="minorHAnsi"/>
              </w:rPr>
            </w:pPr>
            <w:r w:rsidRPr="00E460E1">
              <w:rPr>
                <w:rFonts w:cstheme="minorHAnsi"/>
              </w:rPr>
              <w:t>Monitoring and Reporting</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75" w:type="dxa"/>
              <w:bottom w:w="15" w:type="dxa"/>
              <w:right w:w="75" w:type="dxa"/>
            </w:tcMar>
            <w:vAlign w:val="center"/>
            <w:hideMark/>
          </w:tcPr>
          <w:p w14:paraId="3886DFD9" w14:textId="77777777" w:rsidR="00E460E1" w:rsidRPr="00E460E1" w:rsidRDefault="00E460E1" w:rsidP="00E10A32">
            <w:pPr>
              <w:rPr>
                <w:rFonts w:cstheme="minorHAnsi"/>
              </w:rPr>
            </w:pPr>
            <w:r w:rsidRPr="00E460E1">
              <w:rPr>
                <w:rFonts w:cstheme="minorHAnsi"/>
              </w:rPr>
              <w:t>Legal &amp; Compliance Team</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75" w:type="dxa"/>
              <w:bottom w:w="15" w:type="dxa"/>
              <w:right w:w="75" w:type="dxa"/>
            </w:tcMar>
            <w:vAlign w:val="center"/>
            <w:hideMark/>
          </w:tcPr>
          <w:p w14:paraId="2946523D" w14:textId="77777777" w:rsidR="00E460E1" w:rsidRPr="00E460E1" w:rsidRDefault="00E460E1" w:rsidP="00E10A32">
            <w:pPr>
              <w:rPr>
                <w:rFonts w:cstheme="minorHAnsi"/>
              </w:rPr>
            </w:pPr>
            <w:r w:rsidRPr="00E460E1">
              <w:rPr>
                <w:rFonts w:cstheme="minorHAnsi"/>
              </w:rPr>
              <w:t>General Counsel and ELT</w:t>
            </w:r>
          </w:p>
        </w:tc>
      </w:tr>
      <w:tr w:rsidR="00E460E1" w:rsidRPr="008547E6" w14:paraId="0FDCDA84" w14:textId="77777777" w:rsidTr="00E460E1">
        <w:trPr>
          <w:trHeight w:val="882"/>
        </w:trPr>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75" w:type="dxa"/>
              <w:bottom w:w="15" w:type="dxa"/>
              <w:right w:w="75" w:type="dxa"/>
            </w:tcMar>
            <w:vAlign w:val="center"/>
            <w:hideMark/>
          </w:tcPr>
          <w:p w14:paraId="32DE0372" w14:textId="77777777" w:rsidR="00E460E1" w:rsidRPr="00E460E1" w:rsidRDefault="00E460E1" w:rsidP="00E10A32">
            <w:pPr>
              <w:rPr>
                <w:rFonts w:cstheme="minorHAnsi"/>
              </w:rPr>
            </w:pPr>
            <w:r w:rsidRPr="00E460E1">
              <w:rPr>
                <w:rFonts w:cstheme="minorHAnsi"/>
              </w:rPr>
              <w:t>Formalized Fraud Prevention Framework</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75" w:type="dxa"/>
              <w:bottom w:w="15" w:type="dxa"/>
              <w:right w:w="75" w:type="dxa"/>
            </w:tcMar>
            <w:vAlign w:val="center"/>
            <w:hideMark/>
          </w:tcPr>
          <w:p w14:paraId="0A36FA31" w14:textId="77777777" w:rsidR="00E460E1" w:rsidRPr="00E460E1" w:rsidRDefault="00E460E1" w:rsidP="00E10A32">
            <w:pPr>
              <w:rPr>
                <w:rFonts w:cstheme="minorHAnsi"/>
              </w:rPr>
            </w:pPr>
            <w:r w:rsidRPr="00E460E1">
              <w:rPr>
                <w:rFonts w:cstheme="minorHAnsi"/>
              </w:rPr>
              <w:t>Legal &amp; Compliance Team</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75" w:type="dxa"/>
              <w:bottom w:w="15" w:type="dxa"/>
              <w:right w:w="75" w:type="dxa"/>
            </w:tcMar>
            <w:vAlign w:val="center"/>
            <w:hideMark/>
          </w:tcPr>
          <w:p w14:paraId="7A28F21A" w14:textId="77777777" w:rsidR="00E460E1" w:rsidRPr="00E460E1" w:rsidRDefault="00E460E1" w:rsidP="00E10A32">
            <w:pPr>
              <w:rPr>
                <w:rFonts w:cstheme="minorHAnsi"/>
              </w:rPr>
            </w:pPr>
            <w:r w:rsidRPr="00E460E1">
              <w:rPr>
                <w:rFonts w:cstheme="minorHAnsi"/>
              </w:rPr>
              <w:t>ELT</w:t>
            </w:r>
          </w:p>
        </w:tc>
      </w:tr>
      <w:tr w:rsidR="00E460E1" w:rsidRPr="008547E6" w14:paraId="03FF9BCE" w14:textId="77777777" w:rsidTr="00E460E1">
        <w:trPr>
          <w:trHeight w:val="882"/>
        </w:trPr>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75" w:type="dxa"/>
              <w:bottom w:w="15" w:type="dxa"/>
              <w:right w:w="75" w:type="dxa"/>
            </w:tcMar>
            <w:vAlign w:val="center"/>
            <w:hideMark/>
          </w:tcPr>
          <w:p w14:paraId="26B7B23A" w14:textId="77777777" w:rsidR="00E460E1" w:rsidRPr="00E460E1" w:rsidRDefault="00E460E1" w:rsidP="00E10A32">
            <w:pPr>
              <w:rPr>
                <w:rFonts w:cstheme="minorHAnsi"/>
              </w:rPr>
            </w:pPr>
            <w:r w:rsidRPr="00E460E1">
              <w:rPr>
                <w:rFonts w:cstheme="minorHAnsi"/>
              </w:rPr>
              <w:t>Strengthen Contract Management</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75" w:type="dxa"/>
              <w:bottom w:w="15" w:type="dxa"/>
              <w:right w:w="75" w:type="dxa"/>
            </w:tcMar>
            <w:vAlign w:val="center"/>
            <w:hideMark/>
          </w:tcPr>
          <w:p w14:paraId="703D1E5A" w14:textId="77777777" w:rsidR="00E460E1" w:rsidRPr="00E460E1" w:rsidRDefault="00E460E1" w:rsidP="00E10A32">
            <w:pPr>
              <w:rPr>
                <w:rFonts w:cstheme="minorHAnsi"/>
              </w:rPr>
            </w:pPr>
            <w:r w:rsidRPr="00E460E1">
              <w:rPr>
                <w:rFonts w:cstheme="minorHAnsi"/>
              </w:rPr>
              <w:t>Head of Legal EMEA APAC; Associate General Counsel</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75" w:type="dxa"/>
              <w:bottom w:w="15" w:type="dxa"/>
              <w:right w:w="75" w:type="dxa"/>
            </w:tcMar>
            <w:vAlign w:val="center"/>
            <w:hideMark/>
          </w:tcPr>
          <w:p w14:paraId="73C2673E" w14:textId="77777777" w:rsidR="00E460E1" w:rsidRPr="00E460E1" w:rsidRDefault="00E460E1" w:rsidP="00E10A32">
            <w:pPr>
              <w:rPr>
                <w:rFonts w:cstheme="minorHAnsi"/>
              </w:rPr>
            </w:pPr>
            <w:r w:rsidRPr="00E460E1">
              <w:rPr>
                <w:rFonts w:cstheme="minorHAnsi"/>
              </w:rPr>
              <w:t>General Counsel</w:t>
            </w:r>
          </w:p>
        </w:tc>
      </w:tr>
      <w:tr w:rsidR="00E460E1" w:rsidRPr="008547E6" w14:paraId="585EC9CA" w14:textId="77777777" w:rsidTr="00E460E1">
        <w:trPr>
          <w:trHeight w:val="882"/>
        </w:trPr>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75" w:type="dxa"/>
              <w:bottom w:w="15" w:type="dxa"/>
              <w:right w:w="75" w:type="dxa"/>
            </w:tcMar>
            <w:vAlign w:val="center"/>
            <w:hideMark/>
          </w:tcPr>
          <w:p w14:paraId="0008DF11" w14:textId="77777777" w:rsidR="00E460E1" w:rsidRPr="00E460E1" w:rsidRDefault="00E460E1" w:rsidP="00E10A32">
            <w:pPr>
              <w:rPr>
                <w:rFonts w:cstheme="minorHAnsi"/>
              </w:rPr>
            </w:pPr>
            <w:r w:rsidRPr="00E460E1">
              <w:rPr>
                <w:rFonts w:cstheme="minorHAnsi"/>
              </w:rPr>
              <w:t>Enhanced Monitoring for Associated Persons</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75" w:type="dxa"/>
              <w:bottom w:w="15" w:type="dxa"/>
              <w:right w:w="75" w:type="dxa"/>
            </w:tcMar>
            <w:vAlign w:val="center"/>
            <w:hideMark/>
          </w:tcPr>
          <w:p w14:paraId="6F624F9D" w14:textId="77777777" w:rsidR="00E460E1" w:rsidRPr="00E460E1" w:rsidRDefault="00E460E1" w:rsidP="00E10A32">
            <w:pPr>
              <w:rPr>
                <w:rFonts w:cstheme="minorHAnsi"/>
              </w:rPr>
            </w:pPr>
            <w:r w:rsidRPr="00E460E1">
              <w:rPr>
                <w:rFonts w:cstheme="minorHAnsi"/>
              </w:rPr>
              <w:t>Legal &amp; Compliance Team</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75" w:type="dxa"/>
              <w:bottom w:w="15" w:type="dxa"/>
              <w:right w:w="75" w:type="dxa"/>
            </w:tcMar>
            <w:vAlign w:val="center"/>
            <w:hideMark/>
          </w:tcPr>
          <w:p w14:paraId="29951BF8" w14:textId="77777777" w:rsidR="00E460E1" w:rsidRPr="00E460E1" w:rsidRDefault="00E460E1" w:rsidP="00E10A32">
            <w:pPr>
              <w:rPr>
                <w:rFonts w:cstheme="minorHAnsi"/>
              </w:rPr>
            </w:pPr>
            <w:r w:rsidRPr="00E460E1">
              <w:rPr>
                <w:rFonts w:cstheme="minorHAnsi"/>
              </w:rPr>
              <w:t>General Counsel</w:t>
            </w:r>
          </w:p>
        </w:tc>
      </w:tr>
      <w:tr w:rsidR="00E460E1" w:rsidRPr="008547E6" w14:paraId="015609CE" w14:textId="77777777" w:rsidTr="00E460E1">
        <w:trPr>
          <w:trHeight w:val="601"/>
        </w:trPr>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75" w:type="dxa"/>
              <w:bottom w:w="15" w:type="dxa"/>
              <w:right w:w="75" w:type="dxa"/>
            </w:tcMar>
            <w:vAlign w:val="center"/>
            <w:hideMark/>
          </w:tcPr>
          <w:p w14:paraId="47703C46" w14:textId="77777777" w:rsidR="00E460E1" w:rsidRPr="00E460E1" w:rsidRDefault="00E460E1" w:rsidP="00E10A32">
            <w:pPr>
              <w:rPr>
                <w:rFonts w:cstheme="minorHAnsi"/>
              </w:rPr>
            </w:pPr>
            <w:r w:rsidRPr="00E460E1">
              <w:rPr>
                <w:rFonts w:cstheme="minorHAnsi"/>
              </w:rPr>
              <w:t>Continuous Due Diligence</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75" w:type="dxa"/>
              <w:bottom w:w="15" w:type="dxa"/>
              <w:right w:w="75" w:type="dxa"/>
            </w:tcMar>
            <w:vAlign w:val="center"/>
            <w:hideMark/>
          </w:tcPr>
          <w:p w14:paraId="37C526DE" w14:textId="77777777" w:rsidR="00E460E1" w:rsidRPr="00E460E1" w:rsidRDefault="00E460E1" w:rsidP="00E10A32">
            <w:pPr>
              <w:rPr>
                <w:rFonts w:cstheme="minorHAnsi"/>
              </w:rPr>
            </w:pPr>
            <w:r w:rsidRPr="00E460E1">
              <w:rPr>
                <w:rFonts w:cstheme="minorHAnsi"/>
              </w:rPr>
              <w:t>Legal &amp; Compliance Team</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75" w:type="dxa"/>
              <w:bottom w:w="15" w:type="dxa"/>
              <w:right w:w="75" w:type="dxa"/>
            </w:tcMar>
            <w:vAlign w:val="center"/>
            <w:hideMark/>
          </w:tcPr>
          <w:p w14:paraId="2170D988" w14:textId="77777777" w:rsidR="00E460E1" w:rsidRPr="00E460E1" w:rsidRDefault="00E460E1" w:rsidP="00E10A32">
            <w:pPr>
              <w:rPr>
                <w:rFonts w:cstheme="minorHAnsi"/>
              </w:rPr>
            </w:pPr>
            <w:r w:rsidRPr="00E460E1">
              <w:rPr>
                <w:rFonts w:cstheme="minorHAnsi"/>
              </w:rPr>
              <w:t>General Counsel</w:t>
            </w:r>
          </w:p>
        </w:tc>
      </w:tr>
      <w:tr w:rsidR="00E460E1" w:rsidRPr="008547E6" w14:paraId="2F305D9D" w14:textId="77777777" w:rsidTr="00E460E1">
        <w:trPr>
          <w:trHeight w:val="882"/>
        </w:trPr>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75" w:type="dxa"/>
              <w:bottom w:w="15" w:type="dxa"/>
              <w:right w:w="75" w:type="dxa"/>
            </w:tcMar>
            <w:vAlign w:val="center"/>
            <w:hideMark/>
          </w:tcPr>
          <w:p w14:paraId="5CC2DDAE" w14:textId="77777777" w:rsidR="00E460E1" w:rsidRPr="00E460E1" w:rsidRDefault="00E460E1" w:rsidP="00E10A32">
            <w:pPr>
              <w:rPr>
                <w:rFonts w:cstheme="minorHAnsi"/>
              </w:rPr>
            </w:pPr>
            <w:r w:rsidRPr="00E460E1">
              <w:rPr>
                <w:rFonts w:cstheme="minorHAnsi"/>
              </w:rPr>
              <w:t>Foster an Ethical Culture</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75" w:type="dxa"/>
              <w:bottom w:w="15" w:type="dxa"/>
              <w:right w:w="75" w:type="dxa"/>
            </w:tcMar>
            <w:vAlign w:val="center"/>
            <w:hideMark/>
          </w:tcPr>
          <w:p w14:paraId="3ABF3EBE" w14:textId="77777777" w:rsidR="00E460E1" w:rsidRPr="00E460E1" w:rsidRDefault="00E460E1" w:rsidP="00E10A32">
            <w:pPr>
              <w:rPr>
                <w:rFonts w:cstheme="minorHAnsi"/>
              </w:rPr>
            </w:pPr>
            <w:r w:rsidRPr="00E460E1">
              <w:rPr>
                <w:rFonts w:cstheme="minorHAnsi"/>
              </w:rPr>
              <w:t>Board of Directors; ELT</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75" w:type="dxa"/>
              <w:bottom w:w="15" w:type="dxa"/>
              <w:right w:w="75" w:type="dxa"/>
            </w:tcMar>
            <w:vAlign w:val="center"/>
            <w:hideMark/>
          </w:tcPr>
          <w:p w14:paraId="55D6DEDB" w14:textId="77777777" w:rsidR="00E460E1" w:rsidRPr="00E460E1" w:rsidRDefault="00E460E1" w:rsidP="00E10A32">
            <w:pPr>
              <w:rPr>
                <w:rFonts w:cstheme="minorHAnsi"/>
              </w:rPr>
            </w:pPr>
            <w:r w:rsidRPr="00E460E1">
              <w:rPr>
                <w:rFonts w:cstheme="minorHAnsi"/>
              </w:rPr>
              <w:t>General Counsel; Global Head of Compliance</w:t>
            </w:r>
          </w:p>
        </w:tc>
      </w:tr>
      <w:tr w:rsidR="00E460E1" w:rsidRPr="008547E6" w14:paraId="3FAFEE31" w14:textId="77777777" w:rsidTr="00E460E1">
        <w:trPr>
          <w:trHeight w:val="882"/>
        </w:trPr>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75" w:type="dxa"/>
              <w:bottom w:w="15" w:type="dxa"/>
              <w:right w:w="75" w:type="dxa"/>
            </w:tcMar>
            <w:vAlign w:val="center"/>
            <w:hideMark/>
          </w:tcPr>
          <w:p w14:paraId="6D8412A5" w14:textId="77777777" w:rsidR="00E460E1" w:rsidRPr="00E460E1" w:rsidRDefault="00E460E1" w:rsidP="00E10A32">
            <w:pPr>
              <w:rPr>
                <w:rFonts w:cstheme="minorHAnsi"/>
              </w:rPr>
            </w:pPr>
            <w:r w:rsidRPr="00E460E1">
              <w:rPr>
                <w:rFonts w:cstheme="minorHAnsi"/>
              </w:rPr>
              <w:lastRenderedPageBreak/>
              <w:t>Regular Reporting and Board-Level Involvement</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75" w:type="dxa"/>
              <w:bottom w:w="15" w:type="dxa"/>
              <w:right w:w="75" w:type="dxa"/>
            </w:tcMar>
            <w:vAlign w:val="center"/>
            <w:hideMark/>
          </w:tcPr>
          <w:p w14:paraId="7ECC3022" w14:textId="77777777" w:rsidR="00E460E1" w:rsidRPr="00E460E1" w:rsidRDefault="00E460E1" w:rsidP="00E10A32">
            <w:pPr>
              <w:rPr>
                <w:rFonts w:cstheme="minorHAnsi"/>
              </w:rPr>
            </w:pPr>
            <w:r w:rsidRPr="00E460E1">
              <w:rPr>
                <w:rFonts w:cstheme="minorHAnsi"/>
              </w:rPr>
              <w:t>Head of Risks and Controls; Global Head of Compliance</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75" w:type="dxa"/>
              <w:bottom w:w="15" w:type="dxa"/>
              <w:right w:w="75" w:type="dxa"/>
            </w:tcMar>
            <w:vAlign w:val="center"/>
            <w:hideMark/>
          </w:tcPr>
          <w:p w14:paraId="7A5F93A4" w14:textId="77777777" w:rsidR="00E460E1" w:rsidRPr="00E460E1" w:rsidRDefault="00E460E1" w:rsidP="00E10A32">
            <w:pPr>
              <w:rPr>
                <w:rFonts w:cstheme="minorHAnsi"/>
              </w:rPr>
            </w:pPr>
            <w:r w:rsidRPr="00E460E1">
              <w:rPr>
                <w:rFonts w:cstheme="minorHAnsi"/>
              </w:rPr>
              <w:t>General Counsel</w:t>
            </w:r>
          </w:p>
        </w:tc>
      </w:tr>
    </w:tbl>
    <w:p w14:paraId="354DD2EF" w14:textId="77777777" w:rsidR="006D5135" w:rsidRPr="006D5135" w:rsidRDefault="006D5135" w:rsidP="00E460E1">
      <w:pPr>
        <w:spacing w:after="0" w:line="240" w:lineRule="auto"/>
        <w:rPr>
          <w:rFonts w:asciiTheme="majorHAnsi" w:eastAsiaTheme="majorEastAsia" w:hAnsiTheme="majorHAnsi" w:cstheme="majorBidi"/>
          <w:color w:val="2F5496" w:themeColor="accent1" w:themeShade="BF"/>
          <w:sz w:val="30"/>
          <w:szCs w:val="30"/>
        </w:rPr>
      </w:pPr>
    </w:p>
    <w:p w14:paraId="18B6F07D" w14:textId="44AD2A69" w:rsidR="00B942E6" w:rsidRDefault="00AC5D23" w:rsidP="00053ACC">
      <w:pPr>
        <w:pStyle w:val="Heading1"/>
        <w:numPr>
          <w:ilvl w:val="0"/>
          <w:numId w:val="11"/>
        </w:numPr>
        <w:spacing w:before="320" w:line="240" w:lineRule="auto"/>
      </w:pPr>
      <w:bookmarkStart w:id="4" w:name="_Toc196402320"/>
      <w:r w:rsidRPr="00053ACC">
        <w:t>Key P</w:t>
      </w:r>
      <w:r w:rsidR="004A287C">
        <w:t>olicies and Procedures</w:t>
      </w:r>
      <w:bookmarkEnd w:id="4"/>
    </w:p>
    <w:p w14:paraId="4A324CAC" w14:textId="02EBAFAA" w:rsidR="004A287C" w:rsidRPr="004A287C" w:rsidRDefault="00BD73DA" w:rsidP="00BD73DA">
      <w:pPr>
        <w:spacing w:after="0" w:line="240" w:lineRule="auto"/>
      </w:pPr>
      <w:r w:rsidRPr="00BD73DA">
        <w:t>This policy refers to several key policies and procedures that collectively form our anti-fraud and corruption framework. These include, but are not limited to:</w:t>
      </w:r>
    </w:p>
    <w:p w14:paraId="518C6C77" w14:textId="3940F404" w:rsidR="00320B2E" w:rsidRPr="00320B2E" w:rsidRDefault="00320B2E" w:rsidP="009A19AA">
      <w:pPr>
        <w:pStyle w:val="ListParagraph"/>
        <w:numPr>
          <w:ilvl w:val="0"/>
          <w:numId w:val="14"/>
        </w:numPr>
        <w:spacing w:line="324" w:lineRule="auto"/>
        <w:ind w:left="270" w:firstLine="90"/>
      </w:pPr>
      <w:hyperlink r:id="rId11" w:history="1">
        <w:r w:rsidRPr="00320B2E">
          <w:rPr>
            <w:rStyle w:val="Hyperlink"/>
            <w:rFonts w:ascii="Arial Nova Light" w:hAnsi="Arial Nova Light"/>
            <w:b/>
            <w:bCs/>
          </w:rPr>
          <w:t>Global Travel and Expenses Policy</w:t>
        </w:r>
      </w:hyperlink>
      <w:r w:rsidRPr="00320B2E">
        <w:rPr>
          <w:rFonts w:ascii="Arial Nova Light" w:hAnsi="Arial Nova Light"/>
        </w:rPr>
        <w:t>:</w:t>
      </w:r>
    </w:p>
    <w:p w14:paraId="497D61AE" w14:textId="6966BF92" w:rsidR="00AA5A06" w:rsidRPr="009A19AA" w:rsidRDefault="00AA5A06" w:rsidP="00AA5A06">
      <w:pPr>
        <w:spacing w:before="0" w:after="0" w:line="240" w:lineRule="auto"/>
      </w:pPr>
      <w:r w:rsidRPr="009A19AA">
        <w:t>Outlines the procedures for claiming and reimbursing expenses, ensuring that all claims are legitimate and properly documented.</w:t>
      </w:r>
    </w:p>
    <w:p w14:paraId="2FDE5AC5" w14:textId="6F367945" w:rsidR="00A52E49" w:rsidRDefault="00A52E49" w:rsidP="009A19AA">
      <w:pPr>
        <w:pStyle w:val="ListParagraph"/>
        <w:numPr>
          <w:ilvl w:val="0"/>
          <w:numId w:val="14"/>
        </w:numPr>
        <w:spacing w:line="324" w:lineRule="auto"/>
        <w:ind w:left="810" w:hanging="450"/>
      </w:pPr>
      <w:hyperlink r:id="rId12" w:history="1">
        <w:r w:rsidRPr="0067083D">
          <w:rPr>
            <w:rStyle w:val="Hyperlink"/>
            <w:rFonts w:ascii="Arial Nova Light" w:hAnsi="Arial Nova Light"/>
            <w:b/>
            <w:bCs/>
          </w:rPr>
          <w:t>Gifts and Entertainment Policy</w:t>
        </w:r>
      </w:hyperlink>
    </w:p>
    <w:p w14:paraId="4ED132F4" w14:textId="77777777" w:rsidR="009A19AA" w:rsidRDefault="009A19AA" w:rsidP="009A19AA">
      <w:pPr>
        <w:spacing w:before="0" w:after="0" w:line="240" w:lineRule="auto"/>
      </w:pPr>
      <w:r w:rsidRPr="009A19AA">
        <w:t>Sets out the guidelines for accepting and offering gifts and entertainment, preventing any form of bribery or undue influence.</w:t>
      </w:r>
    </w:p>
    <w:p w14:paraId="5E3599F7" w14:textId="77777777" w:rsidR="009A19AA" w:rsidRDefault="009A19AA" w:rsidP="009A19AA">
      <w:pPr>
        <w:spacing w:before="0" w:after="0" w:line="240" w:lineRule="auto"/>
      </w:pPr>
    </w:p>
    <w:p w14:paraId="59CBF48F" w14:textId="5FF9BE65" w:rsidR="009D69AC" w:rsidRDefault="009D69AC" w:rsidP="009D69AC">
      <w:pPr>
        <w:pStyle w:val="ListParagraph"/>
        <w:numPr>
          <w:ilvl w:val="0"/>
          <w:numId w:val="14"/>
        </w:numPr>
        <w:spacing w:before="0" w:after="0" w:line="240" w:lineRule="auto"/>
      </w:pPr>
      <w:hyperlink r:id="rId13" w:history="1">
        <w:r w:rsidRPr="009D69AC">
          <w:rPr>
            <w:rStyle w:val="Hyperlink"/>
            <w:rFonts w:ascii="Arial Nova Light" w:hAnsi="Arial Nova Light"/>
            <w:b/>
            <w:bCs/>
          </w:rPr>
          <w:t>Customer and Supplier Risk Screening Policy</w:t>
        </w:r>
      </w:hyperlink>
    </w:p>
    <w:p w14:paraId="46D53BB8" w14:textId="77777777" w:rsidR="00B6465E" w:rsidRDefault="00B6465E" w:rsidP="0069695D">
      <w:pPr>
        <w:spacing w:before="0" w:after="0" w:line="240" w:lineRule="auto"/>
      </w:pPr>
    </w:p>
    <w:p w14:paraId="61300A86" w14:textId="62B7F8EB" w:rsidR="0069695D" w:rsidRDefault="00B6465E" w:rsidP="0069695D">
      <w:pPr>
        <w:spacing w:before="0" w:after="0" w:line="240" w:lineRule="auto"/>
      </w:pPr>
      <w:r w:rsidRPr="00B6465E">
        <w:t>Ensures that all third-party relationships are subject to rigorous due diligence to prevent fraud and corruption.</w:t>
      </w:r>
    </w:p>
    <w:p w14:paraId="26AA625C" w14:textId="76734999" w:rsidR="009D69AC" w:rsidRDefault="004A2C87" w:rsidP="009D69AC">
      <w:pPr>
        <w:pStyle w:val="ListParagraph"/>
        <w:numPr>
          <w:ilvl w:val="0"/>
          <w:numId w:val="14"/>
        </w:numPr>
        <w:spacing w:before="0" w:after="0" w:line="240" w:lineRule="auto"/>
      </w:pPr>
      <w:hyperlink r:id="rId14" w:history="1">
        <w:r w:rsidRPr="00523A36">
          <w:rPr>
            <w:rStyle w:val="Hyperlink"/>
            <w:rFonts w:ascii="Arial Nova Light" w:hAnsi="Arial Nova Light"/>
            <w:b/>
            <w:bCs/>
          </w:rPr>
          <w:t xml:space="preserve">Whistleblowing &amp; </w:t>
        </w:r>
        <w:r w:rsidRPr="0067083D">
          <w:rPr>
            <w:rStyle w:val="Hyperlink"/>
            <w:rFonts w:ascii="Arial Nova Light" w:hAnsi="Arial Nova Light"/>
            <w:b/>
            <w:bCs/>
          </w:rPr>
          <w:t>Speak Up Policy</w:t>
        </w:r>
      </w:hyperlink>
    </w:p>
    <w:p w14:paraId="05D8F145" w14:textId="77777777" w:rsidR="00B6465E" w:rsidRDefault="00B6465E" w:rsidP="00B6465E">
      <w:pPr>
        <w:spacing w:before="0" w:after="0" w:line="240" w:lineRule="auto"/>
      </w:pPr>
    </w:p>
    <w:p w14:paraId="176EC4C8" w14:textId="77777777" w:rsidR="00B72B91" w:rsidRPr="00B72B91" w:rsidRDefault="00B72B91" w:rsidP="00B72B91">
      <w:pPr>
        <w:spacing w:before="0" w:after="0" w:line="240" w:lineRule="auto"/>
      </w:pPr>
      <w:r w:rsidRPr="00B72B91">
        <w:t>Encourages employees to report any concerns or suspicions of fraud or corruption, providing a safe and confidential mechanism for whistleblowing.</w:t>
      </w:r>
    </w:p>
    <w:p w14:paraId="34876D09" w14:textId="77777777" w:rsidR="00B6465E" w:rsidRDefault="00B6465E" w:rsidP="00B6465E">
      <w:pPr>
        <w:spacing w:before="0" w:after="0" w:line="240" w:lineRule="auto"/>
      </w:pPr>
    </w:p>
    <w:p w14:paraId="4321A780" w14:textId="5C6AEE64" w:rsidR="004A2C87" w:rsidRDefault="00C30BCD" w:rsidP="009D69AC">
      <w:pPr>
        <w:pStyle w:val="ListParagraph"/>
        <w:numPr>
          <w:ilvl w:val="0"/>
          <w:numId w:val="14"/>
        </w:numPr>
        <w:spacing w:before="0" w:after="0" w:line="240" w:lineRule="auto"/>
      </w:pPr>
      <w:hyperlink r:id="rId15" w:history="1">
        <w:r w:rsidRPr="00D83EF4">
          <w:rPr>
            <w:rStyle w:val="Hyperlink"/>
            <w:rFonts w:ascii="Arial Nova Light" w:hAnsi="Arial Nova Light"/>
            <w:b/>
            <w:bCs/>
          </w:rPr>
          <w:t>Anti-Money Laundering &amp; Anti-Terrorist Financing Policy</w:t>
        </w:r>
      </w:hyperlink>
    </w:p>
    <w:p w14:paraId="6D128481" w14:textId="77777777" w:rsidR="003F5387" w:rsidRDefault="003F5387" w:rsidP="003F5387">
      <w:pPr>
        <w:spacing w:before="0" w:after="0" w:line="240" w:lineRule="auto"/>
      </w:pPr>
    </w:p>
    <w:p w14:paraId="12EA0F7E" w14:textId="77777777" w:rsidR="00CA4B28" w:rsidRPr="00CA4B28" w:rsidRDefault="00CA4B28" w:rsidP="00CA4B28">
      <w:pPr>
        <w:spacing w:before="0" w:after="0" w:line="240" w:lineRule="auto"/>
      </w:pPr>
      <w:r w:rsidRPr="00CA4B28">
        <w:t>Reinforces that the company doesn’t participate in money laundering schemes, or terrorist financing, nor do we do business with third parties who do. Any form of money laundering or other financial wrongdoing violates the law as well as our Values.</w:t>
      </w:r>
    </w:p>
    <w:p w14:paraId="135CDC5C" w14:textId="77777777" w:rsidR="003F5387" w:rsidRDefault="003F5387" w:rsidP="003F5387">
      <w:pPr>
        <w:spacing w:before="0" w:after="0" w:line="240" w:lineRule="auto"/>
      </w:pPr>
    </w:p>
    <w:p w14:paraId="14701C5D" w14:textId="14D6DFED" w:rsidR="00C30BCD" w:rsidRDefault="000A7C98" w:rsidP="009D69AC">
      <w:pPr>
        <w:pStyle w:val="ListParagraph"/>
        <w:numPr>
          <w:ilvl w:val="0"/>
          <w:numId w:val="14"/>
        </w:numPr>
        <w:spacing w:before="0" w:after="0" w:line="240" w:lineRule="auto"/>
      </w:pPr>
      <w:hyperlink r:id="rId16" w:history="1">
        <w:r w:rsidRPr="00E060F7">
          <w:rPr>
            <w:rStyle w:val="Hyperlink"/>
            <w:rFonts w:ascii="Arial Nova Light" w:hAnsi="Arial Nova Light"/>
            <w:b/>
            <w:bCs/>
          </w:rPr>
          <w:t>Conflicts of Interest Policy and Annual Declaration</w:t>
        </w:r>
      </w:hyperlink>
    </w:p>
    <w:p w14:paraId="657FFB25" w14:textId="77777777" w:rsidR="00CA4B28" w:rsidRDefault="00CA4B28" w:rsidP="00CA4B28">
      <w:pPr>
        <w:spacing w:before="0" w:after="0" w:line="240" w:lineRule="auto"/>
      </w:pPr>
    </w:p>
    <w:p w14:paraId="3F2FFA37" w14:textId="77777777" w:rsidR="00E11983" w:rsidRPr="00E11983" w:rsidRDefault="00E11983" w:rsidP="00E11983">
      <w:pPr>
        <w:spacing w:before="0" w:after="0" w:line="240" w:lineRule="auto"/>
      </w:pPr>
      <w:r w:rsidRPr="00E11983">
        <w:t>Actual, potential or perceived conflicts of interest can hurt our people, reputation and standing in the marketplace. We are committed to avoiding these conflicts wherever possible and an annual declaration has been implemented throughout the company.</w:t>
      </w:r>
    </w:p>
    <w:p w14:paraId="6CAA4482" w14:textId="77777777" w:rsidR="00CA4B28" w:rsidRDefault="00CA4B28" w:rsidP="00CA4B28">
      <w:pPr>
        <w:spacing w:before="0" w:after="0" w:line="240" w:lineRule="auto"/>
      </w:pPr>
    </w:p>
    <w:p w14:paraId="68472B32" w14:textId="6F4BF551" w:rsidR="000A7C98" w:rsidRDefault="0069695D" w:rsidP="009D69AC">
      <w:pPr>
        <w:pStyle w:val="ListParagraph"/>
        <w:numPr>
          <w:ilvl w:val="0"/>
          <w:numId w:val="14"/>
        </w:numPr>
        <w:spacing w:before="0" w:after="0" w:line="240" w:lineRule="auto"/>
      </w:pPr>
      <w:hyperlink r:id="rId17" w:history="1">
        <w:r w:rsidRPr="0067083D">
          <w:rPr>
            <w:rStyle w:val="Hyperlink"/>
            <w:rFonts w:ascii="Arial Nova Light" w:hAnsi="Arial Nova Light"/>
            <w:b/>
            <w:bCs/>
          </w:rPr>
          <w:t>Code of Conduct</w:t>
        </w:r>
      </w:hyperlink>
    </w:p>
    <w:p w14:paraId="0A80BC8C" w14:textId="77777777" w:rsidR="00C36A08" w:rsidRPr="00C36A08" w:rsidRDefault="00C36A08" w:rsidP="00C36A08">
      <w:pPr>
        <w:spacing w:before="0" w:after="0" w:line="240" w:lineRule="auto"/>
      </w:pPr>
      <w:r w:rsidRPr="00C36A08">
        <w:lastRenderedPageBreak/>
        <w:t>Defines the ethical standards and behaviors expected of all employees, reinforcing our commitment to integrity and transparency.</w:t>
      </w:r>
    </w:p>
    <w:p w14:paraId="604547B1" w14:textId="77777777" w:rsidR="00C36A08" w:rsidRPr="009A19AA" w:rsidRDefault="00C36A08" w:rsidP="00C36A08">
      <w:pPr>
        <w:spacing w:before="0" w:after="0" w:line="240" w:lineRule="auto"/>
      </w:pPr>
    </w:p>
    <w:p w14:paraId="36E1A70B" w14:textId="6DACA12A" w:rsidR="00B942E6" w:rsidRPr="00053ACC" w:rsidRDefault="00FD49F0" w:rsidP="001166DA">
      <w:pPr>
        <w:pStyle w:val="Heading1"/>
        <w:numPr>
          <w:ilvl w:val="0"/>
          <w:numId w:val="11"/>
        </w:numPr>
        <w:spacing w:after="120" w:line="240" w:lineRule="auto"/>
      </w:pPr>
      <w:bookmarkStart w:id="5" w:name="_Toc196402321"/>
      <w:r>
        <w:t>Fraud Risk Management</w:t>
      </w:r>
      <w:bookmarkEnd w:id="5"/>
    </w:p>
    <w:p w14:paraId="57B7C22F" w14:textId="77777777" w:rsidR="00F83EEA" w:rsidRPr="00F83EEA" w:rsidRDefault="00F83EEA" w:rsidP="00F83EEA">
      <w:pPr>
        <w:spacing w:after="0" w:line="240" w:lineRule="auto"/>
      </w:pPr>
      <w:r w:rsidRPr="00F83EEA">
        <w:t>Elementis is committed to continuously improving our fraud risk management framework. This includes regular risk assessments, the implementation of proportionate procedures, and ongoing monitoring and review. We integrate advanced tools and procedures to proactively detect and mitigate fraud risks, ensuring that our controls remain effective and up-to-date.</w:t>
      </w:r>
    </w:p>
    <w:p w14:paraId="47A32147" w14:textId="45D4FF53" w:rsidR="00B942E6" w:rsidRDefault="00F83EEA" w:rsidP="00053ACC">
      <w:pPr>
        <w:pStyle w:val="Heading1"/>
        <w:numPr>
          <w:ilvl w:val="0"/>
          <w:numId w:val="11"/>
        </w:numPr>
        <w:spacing w:before="320" w:line="240" w:lineRule="auto"/>
      </w:pPr>
      <w:bookmarkStart w:id="6" w:name="_Toc196402322"/>
      <w:r>
        <w:t>Training and Awarenes</w:t>
      </w:r>
      <w:r w:rsidR="00AC5D23" w:rsidRPr="00053ACC">
        <w:t>s</w:t>
      </w:r>
      <w:bookmarkEnd w:id="6"/>
    </w:p>
    <w:p w14:paraId="29F563CF" w14:textId="4602C973" w:rsidR="0048584C" w:rsidRPr="0048584C" w:rsidRDefault="0048584C" w:rsidP="0048584C">
      <w:r w:rsidRPr="0048584C">
        <w:t>We recognize the importance of training and awareness in preventing fraud and corruption. All employees receive regular training on our anti-fraud and corruption policies, including the principles of top-level commitment and continuous education. Our training programs are designed to enhance employee awareness and competence in fraud prevention, adapting content to evolving risks and regulatory requirements.</w:t>
      </w:r>
    </w:p>
    <w:p w14:paraId="58408100" w14:textId="77777777" w:rsidR="00B942E6" w:rsidRDefault="00AC5D23">
      <w:r w:rsidRPr="002A2D71">
        <w:rPr>
          <w:rStyle w:val="IntenseEmphasis"/>
          <w:rFonts w:asciiTheme="majorHAnsi" w:eastAsiaTheme="majorEastAsia" w:hAnsiTheme="majorHAnsi" w:cstheme="majorBidi"/>
          <w:sz w:val="24"/>
          <w:szCs w:val="24"/>
        </w:rPr>
        <w:t>Employees and Contractors:</w:t>
      </w:r>
      <w:r>
        <w:t xml:space="preserve"> Understand and adhere to this policy and report any concerns or violations.</w:t>
      </w:r>
    </w:p>
    <w:p w14:paraId="3DA1BF88" w14:textId="02E76DF7" w:rsidR="00B942E6" w:rsidRDefault="00AC5D23">
      <w:r w:rsidRPr="002A2D71">
        <w:rPr>
          <w:rStyle w:val="IntenseEmphasis"/>
          <w:rFonts w:asciiTheme="majorHAnsi" w:eastAsiaTheme="majorEastAsia" w:hAnsiTheme="majorHAnsi" w:cstheme="majorBidi"/>
          <w:sz w:val="24"/>
          <w:szCs w:val="24"/>
        </w:rPr>
        <w:t>Suppliers and Business Partners:</w:t>
      </w:r>
      <w:r>
        <w:t xml:space="preserve"> Comply with Elementis’s Supplier Code of Conduct, which incorporates this policy, ensuring </w:t>
      </w:r>
      <w:r w:rsidR="0048584C">
        <w:t>integrity and ethics</w:t>
      </w:r>
      <w:r>
        <w:t xml:space="preserve"> are respected throughout the supply chain.</w:t>
      </w:r>
    </w:p>
    <w:p w14:paraId="331AD200" w14:textId="2AEFF669" w:rsidR="00B942E6" w:rsidRDefault="00AC5D23">
      <w:r w:rsidRPr="002A2D71">
        <w:rPr>
          <w:rStyle w:val="IntenseEmphasis"/>
          <w:rFonts w:asciiTheme="majorHAnsi" w:eastAsiaTheme="majorEastAsia" w:hAnsiTheme="majorHAnsi" w:cstheme="majorBidi"/>
          <w:sz w:val="24"/>
          <w:szCs w:val="24"/>
        </w:rPr>
        <w:t>Leadership:</w:t>
      </w:r>
      <w:r>
        <w:t xml:space="preserve"> Lead by example and ensure teams are trained on </w:t>
      </w:r>
      <w:r w:rsidR="0048584C">
        <w:t xml:space="preserve">anti-corruption and </w:t>
      </w:r>
      <w:proofErr w:type="spellStart"/>
      <w:r w:rsidR="0048584C">
        <w:t xml:space="preserve">anti </w:t>
      </w:r>
      <w:r w:rsidR="00B73D97">
        <w:t>fraud</w:t>
      </w:r>
      <w:proofErr w:type="spellEnd"/>
      <w:r>
        <w:t xml:space="preserve"> topics. F</w:t>
      </w:r>
      <w:r w:rsidR="00096B13" w:rsidRPr="00096B13">
        <w:t>oster a culture of integrity and transparency aligned with Elementis values</w:t>
      </w:r>
      <w:r>
        <w:t>.</w:t>
      </w:r>
    </w:p>
    <w:p w14:paraId="26F71D53" w14:textId="77777777" w:rsidR="00B942E6" w:rsidRPr="00053ACC" w:rsidRDefault="00AC5D23" w:rsidP="00053ACC">
      <w:pPr>
        <w:pStyle w:val="Heading1"/>
        <w:numPr>
          <w:ilvl w:val="0"/>
          <w:numId w:val="11"/>
        </w:numPr>
        <w:spacing w:before="320" w:line="240" w:lineRule="auto"/>
      </w:pPr>
      <w:bookmarkStart w:id="7" w:name="_Toc196402323"/>
      <w:r w:rsidRPr="00053ACC">
        <w:t>Reporting Concerns</w:t>
      </w:r>
      <w:bookmarkEnd w:id="7"/>
    </w:p>
    <w:p w14:paraId="712CB787" w14:textId="77777777" w:rsidR="00B942E6" w:rsidRDefault="00AC5D23">
      <w:r>
        <w:t>Employees and third parties are encouraged to report suspected violations of this policy through the IntegrityCounts Speak Up Line, which guarantees confidentiality and non-retaliation.</w:t>
      </w:r>
    </w:p>
    <w:p w14:paraId="5B89AB58" w14:textId="77777777" w:rsidR="00B942E6" w:rsidRPr="002A2D71" w:rsidRDefault="00AC5D23" w:rsidP="001166DA">
      <w:pPr>
        <w:spacing w:before="0" w:after="0"/>
        <w:rPr>
          <w:rStyle w:val="IntenseEmphasis"/>
          <w:rFonts w:asciiTheme="majorHAnsi" w:eastAsiaTheme="majorEastAsia" w:hAnsiTheme="majorHAnsi" w:cstheme="majorBidi"/>
          <w:sz w:val="24"/>
          <w:szCs w:val="24"/>
        </w:rPr>
      </w:pPr>
      <w:r w:rsidRPr="002A2D71">
        <w:rPr>
          <w:rStyle w:val="IntenseEmphasis"/>
          <w:rFonts w:asciiTheme="majorHAnsi" w:eastAsiaTheme="majorEastAsia" w:hAnsiTheme="majorHAnsi" w:cstheme="majorBidi"/>
          <w:sz w:val="24"/>
          <w:szCs w:val="24"/>
        </w:rPr>
        <w:t xml:space="preserve">Resources at Your Disposal </w:t>
      </w:r>
    </w:p>
    <w:p w14:paraId="4B7F236A" w14:textId="6D92D178" w:rsidR="00B942E6" w:rsidRDefault="00AC5D23">
      <w:r>
        <w:t>You can always speak to your manager, HR, Finance, or Legal &amp; Compliance</w:t>
      </w:r>
      <w:r w:rsidR="002A2D71">
        <w:t xml:space="preserve"> </w:t>
      </w:r>
      <w:r>
        <w:t>(compliance@elementis.com) if you have questions or concerns. For confidential and anonymous reporting, our IntegrityCounts Speak Up Line is available 24/7:</w:t>
      </w:r>
    </w:p>
    <w:p w14:paraId="677E682E" w14:textId="77777777" w:rsidR="00B942E6" w:rsidRDefault="00AC5D23" w:rsidP="001166DA">
      <w:pPr>
        <w:spacing w:before="0" w:after="0" w:line="360" w:lineRule="auto"/>
      </w:pPr>
      <w:r w:rsidRPr="002A2D71">
        <w:rPr>
          <w:rStyle w:val="IntenseEmphasis"/>
          <w:rFonts w:asciiTheme="majorHAnsi" w:eastAsiaTheme="majorEastAsia" w:hAnsiTheme="majorHAnsi" w:cstheme="majorBidi"/>
          <w:sz w:val="24"/>
          <w:szCs w:val="24"/>
        </w:rPr>
        <w:t>Phone</w:t>
      </w:r>
      <w:r>
        <w:t xml:space="preserve"> (check your country’s number below)</w:t>
      </w:r>
    </w:p>
    <w:p w14:paraId="776FA245" w14:textId="77777777" w:rsidR="00B942E6" w:rsidRDefault="00AC5D23" w:rsidP="001166DA">
      <w:pPr>
        <w:spacing w:before="0" w:after="0" w:line="360" w:lineRule="auto"/>
      </w:pPr>
      <w:r w:rsidRPr="002A2D71">
        <w:rPr>
          <w:rStyle w:val="IntenseEmphasis"/>
          <w:rFonts w:asciiTheme="majorHAnsi" w:eastAsiaTheme="majorEastAsia" w:hAnsiTheme="majorHAnsi" w:cstheme="majorBidi"/>
          <w:sz w:val="24"/>
          <w:szCs w:val="24"/>
        </w:rPr>
        <w:t>Online</w:t>
      </w:r>
      <w:r>
        <w:t>: integrity-counts.com/org/</w:t>
      </w:r>
      <w:proofErr w:type="spellStart"/>
      <w:r>
        <w:t>elementis</w:t>
      </w:r>
      <w:proofErr w:type="spellEnd"/>
    </w:p>
    <w:p w14:paraId="46D90AC9" w14:textId="1D866A3E" w:rsidR="001166DA" w:rsidRDefault="00AC5D23" w:rsidP="001166DA">
      <w:pPr>
        <w:spacing w:before="0" w:after="0" w:line="360" w:lineRule="auto"/>
      </w:pPr>
      <w:r w:rsidRPr="002A2D71">
        <w:rPr>
          <w:rStyle w:val="IntenseEmphasis"/>
          <w:rFonts w:asciiTheme="majorHAnsi" w:eastAsiaTheme="majorEastAsia" w:hAnsiTheme="majorHAnsi" w:cstheme="majorBidi"/>
          <w:sz w:val="24"/>
          <w:szCs w:val="24"/>
        </w:rPr>
        <w:t>Email</w:t>
      </w:r>
      <w:r>
        <w:t xml:space="preserve">: </w:t>
      </w:r>
      <w:hyperlink r:id="rId18" w:history="1">
        <w:r w:rsidR="001166DA" w:rsidRPr="00E31220">
          <w:rPr>
            <w:rStyle w:val="Hyperlink"/>
          </w:rPr>
          <w:t>elementis@integrity-counts.com</w:t>
        </w:r>
      </w:hyperlink>
    </w:p>
    <w:p w14:paraId="699DB5E6" w14:textId="652004EF" w:rsidR="001166DA" w:rsidRDefault="00AC5D23" w:rsidP="00AC5D23">
      <w:pPr>
        <w:spacing w:before="0" w:after="0" w:line="360" w:lineRule="auto"/>
      </w:pPr>
      <w:r>
        <w:t>Country-Specific Speak Up Line Numbers</w:t>
      </w:r>
      <w:r w:rsidR="00821A01">
        <w:t>:</w:t>
      </w:r>
    </w:p>
    <w:tbl>
      <w:tblPr>
        <w:tblStyle w:val="TableGrid"/>
        <w:tblW w:w="9127" w:type="dxa"/>
        <w:tblLook w:val="04A0" w:firstRow="1" w:lastRow="0" w:firstColumn="1" w:lastColumn="0" w:noHBand="0" w:noVBand="1"/>
      </w:tblPr>
      <w:tblGrid>
        <w:gridCol w:w="1055"/>
        <w:gridCol w:w="1773"/>
        <w:gridCol w:w="1370"/>
        <w:gridCol w:w="2008"/>
        <w:gridCol w:w="1004"/>
        <w:gridCol w:w="1917"/>
      </w:tblGrid>
      <w:tr w:rsidR="001166DA" w:rsidRPr="007F57F8" w14:paraId="6DB1BA5A" w14:textId="77777777" w:rsidTr="00416D27">
        <w:trPr>
          <w:trHeight w:val="324"/>
        </w:trPr>
        <w:tc>
          <w:tcPr>
            <w:tcW w:w="1053" w:type="dxa"/>
          </w:tcPr>
          <w:p w14:paraId="73DF5060" w14:textId="77777777" w:rsidR="001166DA" w:rsidRPr="000A7FC6" w:rsidRDefault="001166DA" w:rsidP="00416D27">
            <w:pPr>
              <w:spacing w:before="0"/>
              <w:rPr>
                <w:b/>
                <w:bCs/>
                <w:color w:val="2F5496" w:themeColor="accent1" w:themeShade="BF"/>
              </w:rPr>
            </w:pPr>
            <w:r w:rsidRPr="000A7FC6">
              <w:rPr>
                <w:b/>
                <w:bCs/>
                <w:color w:val="2F5496" w:themeColor="accent1" w:themeShade="BF"/>
              </w:rPr>
              <w:lastRenderedPageBreak/>
              <w:t xml:space="preserve">Brazil </w:t>
            </w:r>
          </w:p>
        </w:tc>
        <w:tc>
          <w:tcPr>
            <w:tcW w:w="1773" w:type="dxa"/>
          </w:tcPr>
          <w:p w14:paraId="591B746D" w14:textId="77777777" w:rsidR="001166DA" w:rsidRPr="002A2D71" w:rsidRDefault="001166DA" w:rsidP="00416D27">
            <w:pPr>
              <w:spacing w:before="0"/>
            </w:pPr>
            <w:r w:rsidRPr="002A2D71">
              <w:t>0-800-761-1959</w:t>
            </w:r>
          </w:p>
        </w:tc>
        <w:tc>
          <w:tcPr>
            <w:tcW w:w="1370" w:type="dxa"/>
          </w:tcPr>
          <w:p w14:paraId="0D4E55B0" w14:textId="77777777" w:rsidR="001166DA" w:rsidRPr="000A7FC6" w:rsidRDefault="001166DA" w:rsidP="00416D27">
            <w:pPr>
              <w:spacing w:before="0"/>
              <w:rPr>
                <w:b/>
                <w:bCs/>
                <w:color w:val="2F5496" w:themeColor="accent1" w:themeShade="BF"/>
              </w:rPr>
            </w:pPr>
            <w:r w:rsidRPr="000A7FC6">
              <w:rPr>
                <w:b/>
                <w:bCs/>
                <w:color w:val="2F5496" w:themeColor="accent1" w:themeShade="BF"/>
              </w:rPr>
              <w:t xml:space="preserve">India </w:t>
            </w:r>
          </w:p>
        </w:tc>
        <w:tc>
          <w:tcPr>
            <w:tcW w:w="2009" w:type="dxa"/>
          </w:tcPr>
          <w:p w14:paraId="1139FD7C" w14:textId="77777777" w:rsidR="001166DA" w:rsidRPr="002A2D71" w:rsidRDefault="001166DA" w:rsidP="00416D27">
            <w:pPr>
              <w:spacing w:before="0"/>
            </w:pPr>
            <w:r w:rsidRPr="002A2D71">
              <w:t>000-8001007980</w:t>
            </w:r>
          </w:p>
        </w:tc>
        <w:tc>
          <w:tcPr>
            <w:tcW w:w="1004" w:type="dxa"/>
          </w:tcPr>
          <w:p w14:paraId="78BE2887" w14:textId="77777777" w:rsidR="001166DA" w:rsidRPr="000A7FC6" w:rsidRDefault="001166DA" w:rsidP="00416D27">
            <w:pPr>
              <w:spacing w:before="0"/>
              <w:rPr>
                <w:b/>
                <w:bCs/>
                <w:color w:val="2F5496" w:themeColor="accent1" w:themeShade="BF"/>
              </w:rPr>
            </w:pPr>
            <w:r w:rsidRPr="000A7FC6">
              <w:rPr>
                <w:b/>
                <w:bCs/>
                <w:color w:val="2F5496" w:themeColor="accent1" w:themeShade="BF"/>
              </w:rPr>
              <w:t>UK</w:t>
            </w:r>
          </w:p>
        </w:tc>
        <w:tc>
          <w:tcPr>
            <w:tcW w:w="1918" w:type="dxa"/>
          </w:tcPr>
          <w:p w14:paraId="3225C2DF" w14:textId="77777777" w:rsidR="001166DA" w:rsidRPr="002A2D71" w:rsidRDefault="001166DA" w:rsidP="00416D27">
            <w:pPr>
              <w:spacing w:before="0"/>
            </w:pPr>
            <w:r w:rsidRPr="002A2D71">
              <w:t>0-800-092-3586</w:t>
            </w:r>
          </w:p>
        </w:tc>
      </w:tr>
      <w:tr w:rsidR="001166DA" w:rsidRPr="007F57F8" w14:paraId="0A22BA20" w14:textId="77777777" w:rsidTr="00416D27">
        <w:trPr>
          <w:trHeight w:val="306"/>
        </w:trPr>
        <w:tc>
          <w:tcPr>
            <w:tcW w:w="1053" w:type="dxa"/>
          </w:tcPr>
          <w:p w14:paraId="56470AA0" w14:textId="77777777" w:rsidR="001166DA" w:rsidRPr="000A7FC6" w:rsidRDefault="001166DA" w:rsidP="00416D27">
            <w:pPr>
              <w:spacing w:before="0"/>
              <w:rPr>
                <w:b/>
                <w:bCs/>
                <w:color w:val="2F5496" w:themeColor="accent1" w:themeShade="BF"/>
              </w:rPr>
            </w:pPr>
            <w:r w:rsidRPr="000A7FC6">
              <w:rPr>
                <w:b/>
                <w:bCs/>
                <w:color w:val="2F5496" w:themeColor="accent1" w:themeShade="BF"/>
              </w:rPr>
              <w:t xml:space="preserve">China </w:t>
            </w:r>
          </w:p>
        </w:tc>
        <w:tc>
          <w:tcPr>
            <w:tcW w:w="1773" w:type="dxa"/>
          </w:tcPr>
          <w:p w14:paraId="7E6F86BF" w14:textId="77777777" w:rsidR="001166DA" w:rsidRPr="002A2D71" w:rsidRDefault="001166DA" w:rsidP="00416D27">
            <w:pPr>
              <w:spacing w:before="0"/>
            </w:pPr>
            <w:r w:rsidRPr="002A2D71">
              <w:t>400-120-8514</w:t>
            </w:r>
          </w:p>
        </w:tc>
        <w:tc>
          <w:tcPr>
            <w:tcW w:w="1370" w:type="dxa"/>
          </w:tcPr>
          <w:p w14:paraId="17913970" w14:textId="77777777" w:rsidR="001166DA" w:rsidRPr="000A7FC6" w:rsidRDefault="001166DA" w:rsidP="00416D27">
            <w:pPr>
              <w:spacing w:before="0"/>
              <w:rPr>
                <w:b/>
                <w:bCs/>
                <w:color w:val="2F5496" w:themeColor="accent1" w:themeShade="BF"/>
              </w:rPr>
            </w:pPr>
            <w:r w:rsidRPr="000A7FC6">
              <w:rPr>
                <w:b/>
                <w:bCs/>
                <w:color w:val="2F5496" w:themeColor="accent1" w:themeShade="BF"/>
              </w:rPr>
              <w:t xml:space="preserve">Malaysia </w:t>
            </w:r>
          </w:p>
        </w:tc>
        <w:tc>
          <w:tcPr>
            <w:tcW w:w="2009" w:type="dxa"/>
          </w:tcPr>
          <w:p w14:paraId="39552E77" w14:textId="77777777" w:rsidR="001166DA" w:rsidRPr="002A2D71" w:rsidRDefault="001166DA" w:rsidP="00416D27">
            <w:pPr>
              <w:spacing w:before="0"/>
            </w:pPr>
            <w:r w:rsidRPr="002A2D71">
              <w:t>+60 154-877 1090</w:t>
            </w:r>
          </w:p>
        </w:tc>
        <w:tc>
          <w:tcPr>
            <w:tcW w:w="1004" w:type="dxa"/>
          </w:tcPr>
          <w:p w14:paraId="13E46E97" w14:textId="77777777" w:rsidR="001166DA" w:rsidRPr="000A7FC6" w:rsidRDefault="001166DA" w:rsidP="00416D27">
            <w:pPr>
              <w:spacing w:before="0"/>
              <w:rPr>
                <w:b/>
                <w:bCs/>
                <w:color w:val="2F5496" w:themeColor="accent1" w:themeShade="BF"/>
              </w:rPr>
            </w:pPr>
            <w:r w:rsidRPr="000A7FC6">
              <w:rPr>
                <w:b/>
                <w:bCs/>
                <w:color w:val="2F5496" w:themeColor="accent1" w:themeShade="BF"/>
              </w:rPr>
              <w:t>US</w:t>
            </w:r>
          </w:p>
        </w:tc>
        <w:tc>
          <w:tcPr>
            <w:tcW w:w="1918" w:type="dxa"/>
          </w:tcPr>
          <w:p w14:paraId="3D7344C9" w14:textId="77777777" w:rsidR="001166DA" w:rsidRPr="002A2D71" w:rsidRDefault="001166DA" w:rsidP="00416D27">
            <w:pPr>
              <w:spacing w:before="0"/>
            </w:pPr>
            <w:r w:rsidRPr="002A2D71">
              <w:t>1-866-921-6714</w:t>
            </w:r>
          </w:p>
        </w:tc>
      </w:tr>
      <w:tr w:rsidR="001166DA" w:rsidRPr="007F57F8" w14:paraId="7F387D94" w14:textId="77777777" w:rsidTr="00416D27">
        <w:trPr>
          <w:trHeight w:val="332"/>
        </w:trPr>
        <w:tc>
          <w:tcPr>
            <w:tcW w:w="1053" w:type="dxa"/>
          </w:tcPr>
          <w:p w14:paraId="714B0EB3" w14:textId="77777777" w:rsidR="001166DA" w:rsidRPr="000A7FC6" w:rsidRDefault="001166DA" w:rsidP="00416D27">
            <w:pPr>
              <w:spacing w:before="0"/>
              <w:rPr>
                <w:b/>
                <w:bCs/>
                <w:color w:val="2F5496" w:themeColor="accent1" w:themeShade="BF"/>
              </w:rPr>
            </w:pPr>
            <w:r w:rsidRPr="000A7FC6">
              <w:rPr>
                <w:b/>
                <w:bCs/>
                <w:color w:val="2F5496" w:themeColor="accent1" w:themeShade="BF"/>
              </w:rPr>
              <w:t xml:space="preserve">Finland </w:t>
            </w:r>
          </w:p>
        </w:tc>
        <w:tc>
          <w:tcPr>
            <w:tcW w:w="1773" w:type="dxa"/>
          </w:tcPr>
          <w:p w14:paraId="677FE841" w14:textId="77777777" w:rsidR="001166DA" w:rsidRPr="002A2D71" w:rsidRDefault="001166DA" w:rsidP="00416D27">
            <w:pPr>
              <w:spacing w:before="0"/>
            </w:pPr>
            <w:r w:rsidRPr="002A2D71">
              <w:t>0 800 915 702</w:t>
            </w:r>
          </w:p>
        </w:tc>
        <w:tc>
          <w:tcPr>
            <w:tcW w:w="1370" w:type="dxa"/>
          </w:tcPr>
          <w:p w14:paraId="30FDEFF0" w14:textId="77777777" w:rsidR="001166DA" w:rsidRPr="000A7FC6" w:rsidRDefault="001166DA" w:rsidP="00416D27">
            <w:pPr>
              <w:spacing w:before="0"/>
              <w:rPr>
                <w:b/>
                <w:bCs/>
                <w:color w:val="2F5496" w:themeColor="accent1" w:themeShade="BF"/>
              </w:rPr>
            </w:pPr>
            <w:r w:rsidRPr="000A7FC6">
              <w:rPr>
                <w:b/>
                <w:bCs/>
                <w:color w:val="2F5496" w:themeColor="accent1" w:themeShade="BF"/>
              </w:rPr>
              <w:t xml:space="preserve">Netherlands </w:t>
            </w:r>
          </w:p>
        </w:tc>
        <w:tc>
          <w:tcPr>
            <w:tcW w:w="2009" w:type="dxa"/>
          </w:tcPr>
          <w:p w14:paraId="18EA9A5D" w14:textId="77777777" w:rsidR="001166DA" w:rsidRPr="002A2D71" w:rsidRDefault="001166DA" w:rsidP="00416D27">
            <w:pPr>
              <w:spacing w:before="0"/>
            </w:pPr>
            <w:r w:rsidRPr="002A2D71">
              <w:t>00-800-2002-0033</w:t>
            </w:r>
          </w:p>
        </w:tc>
        <w:tc>
          <w:tcPr>
            <w:tcW w:w="1004" w:type="dxa"/>
          </w:tcPr>
          <w:p w14:paraId="7B30A2E5" w14:textId="77777777" w:rsidR="001166DA" w:rsidRPr="000A7FC6" w:rsidRDefault="001166DA" w:rsidP="00416D27">
            <w:pPr>
              <w:spacing w:before="0"/>
              <w:rPr>
                <w:b/>
                <w:bCs/>
                <w:color w:val="2F5496" w:themeColor="accent1" w:themeShade="BF"/>
              </w:rPr>
            </w:pPr>
            <w:r w:rsidRPr="000A7FC6">
              <w:rPr>
                <w:b/>
                <w:bCs/>
                <w:color w:val="2F5496" w:themeColor="accent1" w:themeShade="BF"/>
              </w:rPr>
              <w:t>Portugal</w:t>
            </w:r>
          </w:p>
        </w:tc>
        <w:tc>
          <w:tcPr>
            <w:tcW w:w="1918" w:type="dxa"/>
          </w:tcPr>
          <w:p w14:paraId="13E6257A" w14:textId="77777777" w:rsidR="001166DA" w:rsidRPr="002A2D71" w:rsidRDefault="001166DA" w:rsidP="00416D27">
            <w:pPr>
              <w:spacing w:before="0"/>
            </w:pPr>
            <w:r w:rsidRPr="002A2D71">
              <w:t>+351-308-801-038</w:t>
            </w:r>
          </w:p>
        </w:tc>
      </w:tr>
      <w:tr w:rsidR="001166DA" w:rsidRPr="007F57F8" w14:paraId="03A7E2BB" w14:textId="77777777" w:rsidTr="00416D27">
        <w:trPr>
          <w:trHeight w:val="260"/>
        </w:trPr>
        <w:tc>
          <w:tcPr>
            <w:tcW w:w="1053" w:type="dxa"/>
          </w:tcPr>
          <w:p w14:paraId="353682D0" w14:textId="77777777" w:rsidR="001166DA" w:rsidRPr="000A7FC6" w:rsidRDefault="001166DA" w:rsidP="00416D27">
            <w:pPr>
              <w:spacing w:before="0"/>
              <w:rPr>
                <w:b/>
                <w:bCs/>
                <w:color w:val="2F5496" w:themeColor="accent1" w:themeShade="BF"/>
              </w:rPr>
            </w:pPr>
            <w:r w:rsidRPr="000A7FC6">
              <w:rPr>
                <w:b/>
                <w:bCs/>
                <w:color w:val="2F5496" w:themeColor="accent1" w:themeShade="BF"/>
              </w:rPr>
              <w:t xml:space="preserve">Germany </w:t>
            </w:r>
          </w:p>
        </w:tc>
        <w:tc>
          <w:tcPr>
            <w:tcW w:w="1773" w:type="dxa"/>
          </w:tcPr>
          <w:p w14:paraId="07453CB5" w14:textId="77777777" w:rsidR="001166DA" w:rsidRPr="002A2D71" w:rsidRDefault="001166DA" w:rsidP="00416D27">
            <w:pPr>
              <w:spacing w:before="0"/>
            </w:pPr>
            <w:r w:rsidRPr="002A2D71">
              <w:t>0-8001806718</w:t>
            </w:r>
          </w:p>
        </w:tc>
        <w:tc>
          <w:tcPr>
            <w:tcW w:w="1370" w:type="dxa"/>
          </w:tcPr>
          <w:p w14:paraId="0636A8C0" w14:textId="77777777" w:rsidR="001166DA" w:rsidRPr="000A7FC6" w:rsidRDefault="001166DA" w:rsidP="00416D27">
            <w:pPr>
              <w:spacing w:before="0"/>
              <w:rPr>
                <w:b/>
                <w:bCs/>
                <w:color w:val="2F5496" w:themeColor="accent1" w:themeShade="BF"/>
              </w:rPr>
            </w:pPr>
            <w:r w:rsidRPr="000A7FC6">
              <w:rPr>
                <w:b/>
                <w:bCs/>
                <w:color w:val="2F5496" w:themeColor="accent1" w:themeShade="BF"/>
              </w:rPr>
              <w:t xml:space="preserve">Taiwan </w:t>
            </w:r>
          </w:p>
        </w:tc>
        <w:tc>
          <w:tcPr>
            <w:tcW w:w="2009" w:type="dxa"/>
          </w:tcPr>
          <w:p w14:paraId="79F47BAE" w14:textId="77777777" w:rsidR="001166DA" w:rsidRPr="002A2D71" w:rsidRDefault="001166DA" w:rsidP="00416D27">
            <w:pPr>
              <w:spacing w:before="0"/>
            </w:pPr>
            <w:r w:rsidRPr="002A2D71">
              <w:t>00-800-2002-0033</w:t>
            </w:r>
          </w:p>
        </w:tc>
        <w:tc>
          <w:tcPr>
            <w:tcW w:w="1004" w:type="dxa"/>
          </w:tcPr>
          <w:p w14:paraId="3339A950" w14:textId="77777777" w:rsidR="001166DA" w:rsidRPr="002A2D71" w:rsidRDefault="001166DA" w:rsidP="00416D27">
            <w:pPr>
              <w:spacing w:before="0"/>
            </w:pPr>
          </w:p>
        </w:tc>
        <w:tc>
          <w:tcPr>
            <w:tcW w:w="1918" w:type="dxa"/>
          </w:tcPr>
          <w:p w14:paraId="46213981" w14:textId="77777777" w:rsidR="001166DA" w:rsidRPr="002A2D71" w:rsidRDefault="001166DA" w:rsidP="00416D27">
            <w:pPr>
              <w:spacing w:before="0"/>
            </w:pPr>
          </w:p>
        </w:tc>
      </w:tr>
    </w:tbl>
    <w:p w14:paraId="20151379" w14:textId="77777777" w:rsidR="001166DA" w:rsidRDefault="001166DA" w:rsidP="00AC5D23">
      <w:pPr>
        <w:spacing w:before="0" w:after="0" w:line="360" w:lineRule="auto"/>
      </w:pPr>
    </w:p>
    <w:p w14:paraId="0C276B34" w14:textId="1FAE418C" w:rsidR="00B942E6" w:rsidRPr="002A2D71" w:rsidRDefault="00AC5D23">
      <w:pPr>
        <w:rPr>
          <w:rStyle w:val="IntenseEmphasis"/>
          <w:rFonts w:asciiTheme="majorHAnsi" w:eastAsiaTheme="majorEastAsia" w:hAnsiTheme="majorHAnsi" w:cstheme="majorBidi"/>
          <w:sz w:val="24"/>
          <w:szCs w:val="24"/>
        </w:rPr>
      </w:pPr>
      <w:r w:rsidRPr="002A2D71">
        <w:rPr>
          <w:rStyle w:val="IntenseEmphasis"/>
          <w:rFonts w:asciiTheme="majorHAnsi" w:eastAsiaTheme="majorEastAsia" w:hAnsiTheme="majorHAnsi" w:cstheme="majorBidi"/>
          <w:sz w:val="24"/>
          <w:szCs w:val="24"/>
        </w:rPr>
        <w:t>Zero Tolerance for Retaliation</w:t>
      </w:r>
    </w:p>
    <w:p w14:paraId="5F485E57" w14:textId="77777777" w:rsidR="00B942E6" w:rsidRDefault="00AC5D23">
      <w:r>
        <w:t>Elementis stands by those who raise concerns in good faith. Retaliation is not tolerated, and we are committed to protecting you if you Speak Up. Together, we’re creating a safe, fair, and transparent workplace.</w:t>
      </w:r>
    </w:p>
    <w:p w14:paraId="76580F23" w14:textId="77777777" w:rsidR="00B942E6" w:rsidRPr="00053ACC" w:rsidRDefault="00AC5D23" w:rsidP="00053ACC">
      <w:pPr>
        <w:pStyle w:val="Heading1"/>
        <w:numPr>
          <w:ilvl w:val="0"/>
          <w:numId w:val="11"/>
        </w:numPr>
        <w:spacing w:before="320" w:line="240" w:lineRule="auto"/>
      </w:pPr>
      <w:bookmarkStart w:id="8" w:name="_Toc196402324"/>
      <w:r w:rsidRPr="00053ACC">
        <w:t>Implementation and Oversight</w:t>
      </w:r>
      <w:bookmarkEnd w:id="8"/>
    </w:p>
    <w:p w14:paraId="2B49A242" w14:textId="16A9D560" w:rsidR="00B942E6" w:rsidRDefault="00AC5D23">
      <w:r>
        <w:t xml:space="preserve">Elementis integrates </w:t>
      </w:r>
      <w:r w:rsidR="00D11436">
        <w:t>anti-corruption and fraud</w:t>
      </w:r>
      <w:r>
        <w:t xml:space="preserve"> considerations into its risk management, supplier evaluations, and employee training programs. The compliance team, supported by leadership, ensures adherence and regular policy reviews.</w:t>
      </w:r>
    </w:p>
    <w:p w14:paraId="45C31935" w14:textId="1566C341" w:rsidR="00B942E6" w:rsidRPr="00053ACC" w:rsidRDefault="00AC5D23" w:rsidP="00053ACC">
      <w:pPr>
        <w:pStyle w:val="Heading1"/>
        <w:numPr>
          <w:ilvl w:val="0"/>
          <w:numId w:val="11"/>
        </w:numPr>
        <w:spacing w:before="320" w:line="240" w:lineRule="auto"/>
      </w:pPr>
      <w:bookmarkStart w:id="9" w:name="_Toc196402325"/>
      <w:r w:rsidRPr="00053ACC">
        <w:t>Conclusion</w:t>
      </w:r>
      <w:bookmarkEnd w:id="9"/>
    </w:p>
    <w:p w14:paraId="6842000B" w14:textId="77777777" w:rsidR="00E14130" w:rsidRDefault="00E14130" w:rsidP="00E14130">
      <w:pPr>
        <w:jc w:val="both"/>
      </w:pPr>
      <w:r>
        <w:t xml:space="preserve">At Elementis, integrity is our specialty. </w:t>
      </w:r>
    </w:p>
    <w:p w14:paraId="3CEA02A4" w14:textId="1788701E" w:rsidR="00E14130" w:rsidRDefault="00E14130" w:rsidP="00E14130">
      <w:r>
        <w:t xml:space="preserve">Our commitment to ethical business practices is unwavering, and we strive to uphold the highest standards of conduct in everything we do. </w:t>
      </w:r>
    </w:p>
    <w:p w14:paraId="78741E7F" w14:textId="77777777" w:rsidR="00E14130" w:rsidRDefault="00E14130" w:rsidP="00E14130">
      <w:r>
        <w:t>This Anti-Fraud and Corruption Policy is a testament to our dedication to transparency, accountability, and compliance with the Economic Crime and Corporate Transparency Act 2023 (ECCTA) guidelines.</w:t>
      </w:r>
    </w:p>
    <w:p w14:paraId="19C2F4EF" w14:textId="77777777" w:rsidR="00E14130" w:rsidRDefault="00E14130" w:rsidP="00E14130">
      <w:r>
        <w:t xml:space="preserve">Our Code of Conduct and Ethics emphasizes our core values: Safety, Solutions, Ambition, Respect, and Team. These values guide our actions and decisions, ensuring that we operate with honesty and integrity. </w:t>
      </w:r>
    </w:p>
    <w:p w14:paraId="673B45F8" w14:textId="77777777" w:rsidR="00E14130" w:rsidRDefault="00E14130" w:rsidP="00E14130">
      <w:r>
        <w:t>By fostering a culture of integrity and transparency, we create an environment where fraud and corruption are not tolerated, and where everyone understands their role in preventing and addressing these issues.</w:t>
      </w:r>
    </w:p>
    <w:p w14:paraId="67F8306E" w14:textId="77777777" w:rsidR="00E14130" w:rsidRDefault="00E14130" w:rsidP="00E14130">
      <w:r>
        <w:t xml:space="preserve">Investing in Elementis means investing in a company that prioritizes ethical behavior, compliance, and sustainability. Our robust fraud risk management framework, clear accountability structures, and comprehensive training programs demonstrate our commitment to maintaining the highest standards of integrity. We are dedicated to continuous improvement, regularly reviewing and </w:t>
      </w:r>
      <w:r>
        <w:lastRenderedPageBreak/>
        <w:t>enhancing our policies and procedures to stay ahead of emerging risks and regulatory requirements.</w:t>
      </w:r>
    </w:p>
    <w:p w14:paraId="3766D709" w14:textId="77777777" w:rsidR="00E14130" w:rsidRDefault="00E14130" w:rsidP="00E14130">
      <w:r>
        <w:t>By aligning our practices with the ECCTA guidelines and proactively addressing fraud and corruption risks, Elementis not only ensures regulatory compliance but also strengthens its internal resilience. This strategic approach positions Elementis as a leader in fraud risk management within the chemical industry, making us a trusted partner for investors who value ethical business practices and long-term sustainability.</w:t>
      </w:r>
    </w:p>
    <w:p w14:paraId="29CD06D1" w14:textId="7F543D65" w:rsidR="00B942E6" w:rsidRDefault="00E14130" w:rsidP="00E14130">
      <w:r>
        <w:t>Together, we can make a positive impact on our industry and the world.</w:t>
      </w:r>
    </w:p>
    <w:sectPr w:rsidR="00B942E6" w:rsidSect="00366083">
      <w:headerReference w:type="even" r:id="rId19"/>
      <w:headerReference w:type="default" r:id="rId20"/>
      <w:footerReference w:type="even" r:id="rId21"/>
      <w:footerReference w:type="default" r:id="rId22"/>
      <w:pgSz w:w="12240" w:h="15840"/>
      <w:pgMar w:top="1440" w:right="189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F98D8" w14:textId="77777777" w:rsidR="00720918" w:rsidRDefault="00720918">
      <w:pPr>
        <w:spacing w:after="0" w:line="240" w:lineRule="auto"/>
      </w:pPr>
      <w:r>
        <w:separator/>
      </w:r>
    </w:p>
    <w:p w14:paraId="51874D3E" w14:textId="77777777" w:rsidR="00720918" w:rsidRDefault="00720918"/>
  </w:endnote>
  <w:endnote w:type="continuationSeparator" w:id="0">
    <w:p w14:paraId="144D7913" w14:textId="77777777" w:rsidR="00720918" w:rsidRDefault="00720918">
      <w:pPr>
        <w:spacing w:after="0" w:line="240" w:lineRule="auto"/>
      </w:pPr>
      <w:r>
        <w:continuationSeparator/>
      </w:r>
    </w:p>
    <w:p w14:paraId="7B2A863F" w14:textId="77777777" w:rsidR="00720918" w:rsidRDefault="00720918"/>
  </w:endnote>
  <w:endnote w:type="continuationNotice" w:id="1">
    <w:p w14:paraId="57F8A200" w14:textId="77777777" w:rsidR="00720918" w:rsidRDefault="00720918">
      <w:pPr>
        <w:spacing w:after="0" w:line="240" w:lineRule="auto"/>
      </w:pPr>
    </w:p>
    <w:p w14:paraId="786BC78B" w14:textId="77777777" w:rsidR="00720918" w:rsidRDefault="007209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ova Light">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1096B" w14:textId="77777777" w:rsidR="002E09FF" w:rsidRDefault="002E09FF">
    <w:pPr>
      <w:pStyle w:val="Footer"/>
    </w:pPr>
  </w:p>
  <w:p w14:paraId="203D286B" w14:textId="77777777" w:rsidR="005E0085" w:rsidRDefault="005E00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9175974"/>
      <w:docPartObj>
        <w:docPartGallery w:val="Page Numbers (Bottom of Page)"/>
        <w:docPartUnique/>
      </w:docPartObj>
    </w:sdtPr>
    <w:sdtEndPr>
      <w:rPr>
        <w:noProof/>
      </w:rPr>
    </w:sdtEndPr>
    <w:sdtContent>
      <w:p w14:paraId="24145EBF" w14:textId="2290B4EE" w:rsidR="005E0085" w:rsidRDefault="002E09FF" w:rsidP="00E560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59B23" w14:textId="77777777" w:rsidR="00720918" w:rsidRDefault="00720918">
      <w:pPr>
        <w:spacing w:after="0" w:line="240" w:lineRule="auto"/>
      </w:pPr>
      <w:r>
        <w:separator/>
      </w:r>
    </w:p>
    <w:p w14:paraId="2BDD4F34" w14:textId="77777777" w:rsidR="00720918" w:rsidRDefault="00720918"/>
  </w:footnote>
  <w:footnote w:type="continuationSeparator" w:id="0">
    <w:p w14:paraId="45AC42E7" w14:textId="77777777" w:rsidR="00720918" w:rsidRDefault="00720918">
      <w:pPr>
        <w:spacing w:after="0" w:line="240" w:lineRule="auto"/>
      </w:pPr>
      <w:r>
        <w:continuationSeparator/>
      </w:r>
    </w:p>
    <w:p w14:paraId="7C8F5F79" w14:textId="77777777" w:rsidR="00720918" w:rsidRDefault="00720918"/>
  </w:footnote>
  <w:footnote w:type="continuationNotice" w:id="1">
    <w:p w14:paraId="18122B06" w14:textId="77777777" w:rsidR="00720918" w:rsidRDefault="00720918">
      <w:pPr>
        <w:spacing w:after="0" w:line="240" w:lineRule="auto"/>
      </w:pPr>
    </w:p>
    <w:p w14:paraId="0C0952A9" w14:textId="77777777" w:rsidR="00720918" w:rsidRDefault="007209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808A1" w14:textId="77777777" w:rsidR="002E09FF" w:rsidRDefault="002E09FF">
    <w:pPr>
      <w:pStyle w:val="Header"/>
    </w:pPr>
  </w:p>
  <w:p w14:paraId="2E3F36D5" w14:textId="77777777" w:rsidR="005E0085" w:rsidRDefault="005E00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D729D" w14:textId="77777777" w:rsidR="002E09FF" w:rsidRPr="00046A0A" w:rsidRDefault="002E09FF" w:rsidP="00366083">
    <w:pPr>
      <w:pStyle w:val="Title"/>
      <w:spacing w:line="237" w:lineRule="auto"/>
      <w:rPr>
        <w:rFonts w:ascii="Arial Nova" w:hAnsi="Arial Nova"/>
        <w:color w:val="5692DA"/>
        <w:sz w:val="22"/>
        <w:szCs w:val="22"/>
      </w:rPr>
    </w:pPr>
    <w:r>
      <w:rPr>
        <w:noProof/>
      </w:rPr>
      <w:drawing>
        <wp:anchor distT="0" distB="0" distL="114300" distR="114300" simplePos="0" relativeHeight="251658240" behindDoc="0" locked="0" layoutInCell="1" allowOverlap="1" wp14:anchorId="63D52100" wp14:editId="025FE6E1">
          <wp:simplePos x="0" y="0"/>
          <wp:positionH relativeFrom="column">
            <wp:posOffset>4829175</wp:posOffset>
          </wp:positionH>
          <wp:positionV relativeFrom="paragraph">
            <wp:posOffset>-213995</wp:posOffset>
          </wp:positionV>
          <wp:extent cx="1788160" cy="535647"/>
          <wp:effectExtent l="0" t="0" r="2540" b="0"/>
          <wp:wrapNone/>
          <wp:docPr id="1903999271" name="Picture 190399927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370988"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160" cy="53564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1" behindDoc="0" locked="0" layoutInCell="1" allowOverlap="1" wp14:anchorId="3428EC1A" wp14:editId="20F67B4A">
              <wp:simplePos x="0" y="0"/>
              <wp:positionH relativeFrom="page">
                <wp:posOffset>0</wp:posOffset>
              </wp:positionH>
              <wp:positionV relativeFrom="page">
                <wp:posOffset>0</wp:posOffset>
              </wp:positionV>
              <wp:extent cx="179705" cy="10692130"/>
              <wp:effectExtent l="0" t="0" r="0" b="0"/>
              <wp:wrapNone/>
              <wp:docPr id="3887627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0692130"/>
                      </a:xfrm>
                      <a:prstGeom prst="rect">
                        <a:avLst/>
                      </a:prstGeom>
                      <a:solidFill>
                        <a:srgbClr val="5692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188FD" id="Rectangle 3" o:spid="_x0000_s1026" style="position:absolute;margin-left:0;margin-top:0;width:14.15pt;height:841.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4Ux6QEAALYDAAAOAAAAZHJzL2Uyb0RvYy54bWysU8GO0zAQvSPxD5bvNElptzRquqpaLUJa&#10;WKSFD3AdJ7FwPGbsNi1fz9jpdiu4IS6WxzPzPO/5eXV/6g07KvQabMWLSc6ZshJqbduKf//28O4D&#10;Zz4IWwsDVlX8rDy/X799sxpcqabQgakVMgKxvhxcxbsQXJllXnaqF34CTllKNoC9CBRim9UoBkLv&#10;TTbN87tsAKwdglTe0+luTPJ1wm8aJcNT03gVmKk4zRbSimndxzVbr0TZonCdlpcxxD9M0Qtt6dIr&#10;1E4EwQ6o/4LqtUTw0ISJhD6DptFSJQ7Epsj/YPPcCacSFxLHu6tM/v/Byi/HZ/cV4+jePYL84ZmF&#10;bSdsqzaIMHRK1HRdEYXKBufLa0MMPLWy/fAZanpacQiQNDg12EdAYsdOSerzVWp1CkzSYbFYLvI5&#10;Z5JSRX63nBbv02Nkonxpd+jDRwU9i5uKI71lghfHRx/iOKJ8KUnjg9H1gzYmBdjutwbZUdC7zwl+&#10;t0kMiOVtmbGx2EJsGxHjSeIZqUUX+XIP9ZloIozmIbPTpgP8xdlAxqm4/3kQqDgznyxJtSxms+i0&#10;FMzmiykFeJvZ32aElQRV8cDZuN2G0Z0Hh7rt6KYikbawIXkbnYi/TnUZlsyR9LgYObrvNk5Vr99t&#10;/RsAAP//AwBQSwMEFAAGAAgAAAAhAJl0cFbZAAAABQEAAA8AAABkcnMvZG93bnJldi54bWxMj8Fq&#10;wzAQRO+F/IPYQG+NnARs41oOIWlvhdKk9CxbG8vUWhlLcdy/77aX9jKwzDDzttzNrhcTjqHzpGC9&#10;SkAgNd501Cp4Pz8/5CBC1GR07wkVfGGAXbW4K3Vh/I3ecDrFVnAJhUIrsDEOhZShseh0WPkBib2L&#10;H52OfI6tNKO+cbnr5SZJUul0R7xg9YAHi83n6eoUZB/dubbZE2WUvBxT8zr5YC5K3S/n/SOIiHP8&#10;C8MPPqNDxUy1v5IJolfAj8RfZW+Tb0HUnEnzbQ6yKuV/+uobAAD//wMAUEsBAi0AFAAGAAgAAAAh&#10;ALaDOJL+AAAA4QEAABMAAAAAAAAAAAAAAAAAAAAAAFtDb250ZW50X1R5cGVzXS54bWxQSwECLQAU&#10;AAYACAAAACEAOP0h/9YAAACUAQAACwAAAAAAAAAAAAAAAAAvAQAAX3JlbHMvLnJlbHNQSwECLQAU&#10;AAYACAAAACEANX+FMekBAAC2AwAADgAAAAAAAAAAAAAAAAAuAgAAZHJzL2Uyb0RvYy54bWxQSwEC&#10;LQAUAAYACAAAACEAmXRwVtkAAAAFAQAADwAAAAAAAAAAAAAAAABDBAAAZHJzL2Rvd25yZXYueG1s&#10;UEsFBgAAAAAEAAQA8wAAAEkFAAAAAA==&#10;" fillcolor="#5692da" stroked="f">
              <w10:wrap anchorx="page" anchory="page"/>
            </v:rect>
          </w:pict>
        </mc:Fallback>
      </mc:AlternateContent>
    </w:r>
    <w:r w:rsidRPr="00046A0A">
      <w:rPr>
        <w:rFonts w:ascii="Arial Nova" w:hAnsi="Arial Nova"/>
        <w:color w:val="5692DA"/>
        <w:sz w:val="22"/>
        <w:szCs w:val="22"/>
      </w:rPr>
      <w:t>Unique chemistry, sustainable</w:t>
    </w:r>
    <w:r w:rsidRPr="00046A0A">
      <w:rPr>
        <w:rFonts w:ascii="Arial Nova" w:hAnsi="Arial Nova"/>
        <w:color w:val="5692DA"/>
        <w:spacing w:val="-17"/>
        <w:sz w:val="22"/>
        <w:szCs w:val="22"/>
      </w:rPr>
      <w:t xml:space="preserve"> </w:t>
    </w:r>
    <w:r w:rsidRPr="00046A0A">
      <w:rPr>
        <w:rFonts w:ascii="Arial Nova" w:hAnsi="Arial Nova"/>
        <w:color w:val="5692DA"/>
        <w:sz w:val="22"/>
        <w:szCs w:val="22"/>
      </w:rPr>
      <w:t>solutions</w:t>
    </w:r>
  </w:p>
  <w:p w14:paraId="0038F393" w14:textId="001E76C4" w:rsidR="005E0085" w:rsidRDefault="002E09FF" w:rsidP="000C52BF">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E3BCA"/>
    <w:multiLevelType w:val="hybridMultilevel"/>
    <w:tmpl w:val="C7D4BA70"/>
    <w:lvl w:ilvl="0" w:tplc="04BCF5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61B62"/>
    <w:multiLevelType w:val="hybridMultilevel"/>
    <w:tmpl w:val="528E86F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B9312D"/>
    <w:multiLevelType w:val="hybridMultilevel"/>
    <w:tmpl w:val="A15A6E9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B25549"/>
    <w:multiLevelType w:val="hybridMultilevel"/>
    <w:tmpl w:val="2E8AEF52"/>
    <w:lvl w:ilvl="0" w:tplc="DAA80608">
      <w:start w:val="1"/>
      <w:numFmt w:val="bullet"/>
      <w:lvlText w:val=""/>
      <w:lvlJc w:val="left"/>
      <w:pPr>
        <w:ind w:left="720" w:hanging="360"/>
      </w:pPr>
      <w:rPr>
        <w:rFonts w:ascii="Symbol" w:hAnsi="Symbol" w:hint="default"/>
        <w:color w:val="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67098"/>
    <w:multiLevelType w:val="hybridMultilevel"/>
    <w:tmpl w:val="B0F8AD56"/>
    <w:lvl w:ilvl="0" w:tplc="3F424EE4">
      <w:start w:val="1"/>
      <w:numFmt w:val="upperRoman"/>
      <w:lvlText w:val="%1."/>
      <w:lvlJc w:val="left"/>
      <w:pPr>
        <w:ind w:left="720" w:hanging="360"/>
      </w:pPr>
      <w:rPr>
        <w:rFonts w:asciiTheme="minorHAnsi" w:eastAsiaTheme="minorEastAsia" w:hAnsiTheme="minorHAnsi" w:cstheme="minorBidi"/>
        <w:color w:val="2F5496" w:themeColor="accent1" w:themeShade="BF"/>
        <w:u w:color="2F5496"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E792094"/>
    <w:multiLevelType w:val="hybridMultilevel"/>
    <w:tmpl w:val="2AC8A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CB671A"/>
    <w:multiLevelType w:val="multilevel"/>
    <w:tmpl w:val="2E9C7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C06EDA"/>
    <w:multiLevelType w:val="hybridMultilevel"/>
    <w:tmpl w:val="ED5ED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1241A2"/>
    <w:multiLevelType w:val="hybridMultilevel"/>
    <w:tmpl w:val="6C92AF40"/>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1C588C"/>
    <w:multiLevelType w:val="hybridMultilevel"/>
    <w:tmpl w:val="7A64D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077B97"/>
    <w:multiLevelType w:val="multilevel"/>
    <w:tmpl w:val="A3603148"/>
    <w:lvl w:ilvl="0">
      <w:start w:val="1"/>
      <w:numFmt w:val="bullet"/>
      <w:lvlText w:val=""/>
      <w:lvlJc w:val="left"/>
      <w:pPr>
        <w:tabs>
          <w:tab w:val="num" w:pos="720"/>
        </w:tabs>
        <w:ind w:left="720" w:hanging="360"/>
      </w:pPr>
      <w:rPr>
        <w:rFonts w:ascii="Symbol" w:hAnsi="Symbol" w:hint="default"/>
        <w:color w:val="2F5496" w:themeColor="accent1" w:themeShade="B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903C5D"/>
    <w:multiLevelType w:val="hybridMultilevel"/>
    <w:tmpl w:val="529ED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A85A4B"/>
    <w:multiLevelType w:val="hybridMultilevel"/>
    <w:tmpl w:val="2C9604B4"/>
    <w:lvl w:ilvl="0" w:tplc="DAA80608">
      <w:start w:val="1"/>
      <w:numFmt w:val="bullet"/>
      <w:lvlText w:val=""/>
      <w:lvlJc w:val="left"/>
      <w:pPr>
        <w:ind w:left="720" w:hanging="360"/>
      </w:pPr>
      <w:rPr>
        <w:rFonts w:ascii="Symbol" w:hAnsi="Symbol" w:hint="default"/>
        <w:color w:val="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0A2DD2"/>
    <w:multiLevelType w:val="multilevel"/>
    <w:tmpl w:val="2E02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DC6596"/>
    <w:multiLevelType w:val="hybridMultilevel"/>
    <w:tmpl w:val="D95EA2A8"/>
    <w:lvl w:ilvl="0" w:tplc="BB600406">
      <w:numFmt w:val="bullet"/>
      <w:lvlText w:val="•"/>
      <w:lvlJc w:val="left"/>
      <w:pPr>
        <w:ind w:left="360" w:hanging="360"/>
      </w:pPr>
      <w:rPr>
        <w:rFonts w:ascii="Arial" w:eastAsiaTheme="minorEastAsia" w:hAnsi="Arial" w:cs="Arial" w:hint="default"/>
      </w:rPr>
    </w:lvl>
    <w:lvl w:ilvl="1" w:tplc="04090003">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5" w15:restartNumberingAfterBreak="0">
    <w:nsid w:val="5CA7493F"/>
    <w:multiLevelType w:val="hybridMultilevel"/>
    <w:tmpl w:val="528E86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257DD5"/>
    <w:multiLevelType w:val="multilevel"/>
    <w:tmpl w:val="67E63A08"/>
    <w:lvl w:ilvl="0">
      <w:start w:val="1"/>
      <w:numFmt w:val="decimal"/>
      <w:lvlText w:val="%1."/>
      <w:lvlJc w:val="left"/>
      <w:pPr>
        <w:tabs>
          <w:tab w:val="num" w:pos="720"/>
        </w:tabs>
        <w:ind w:left="720" w:hanging="360"/>
      </w:pPr>
      <w:rPr>
        <w:color w:val="2F5496" w:themeColor="accent1" w:themeShade="BF"/>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2B6840"/>
    <w:multiLevelType w:val="hybridMultilevel"/>
    <w:tmpl w:val="6DA4979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F24658"/>
    <w:multiLevelType w:val="hybridMultilevel"/>
    <w:tmpl w:val="A15A6E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5C4941"/>
    <w:multiLevelType w:val="hybridMultilevel"/>
    <w:tmpl w:val="02C2280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2464958"/>
    <w:multiLevelType w:val="hybridMultilevel"/>
    <w:tmpl w:val="528E86F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5F634EA"/>
    <w:multiLevelType w:val="hybridMultilevel"/>
    <w:tmpl w:val="F18C4C1E"/>
    <w:lvl w:ilvl="0" w:tplc="04090001">
      <w:start w:val="1"/>
      <w:numFmt w:val="bullet"/>
      <w:lvlText w:val=""/>
      <w:lvlJc w:val="left"/>
      <w:pPr>
        <w:ind w:left="720" w:hanging="360"/>
      </w:pPr>
      <w:rPr>
        <w:rFonts w:ascii="Symbol" w:hAnsi="Symbol" w:hint="default"/>
        <w:color w:val="2F5496" w:themeColor="accent1" w:themeShade="BF"/>
        <w:u w:color="2F5496"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640538D"/>
    <w:multiLevelType w:val="hybridMultilevel"/>
    <w:tmpl w:val="FD44BAF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EE703A"/>
    <w:multiLevelType w:val="hybridMultilevel"/>
    <w:tmpl w:val="5B86A40C"/>
    <w:lvl w:ilvl="0" w:tplc="848EB656">
      <w:start w:val="1"/>
      <w:numFmt w:val="bullet"/>
      <w:lvlText w:val="o"/>
      <w:lvlJc w:val="left"/>
      <w:pPr>
        <w:ind w:left="720" w:hanging="360"/>
      </w:pPr>
      <w:rPr>
        <w:rFonts w:ascii="Courier New" w:hAnsi="Courier New" w:hint="default"/>
        <w:color w:val="2F5496" w:themeColor="accent1" w:themeShade="BF"/>
        <w:u w:color="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761641">
    <w:abstractNumId w:val="14"/>
  </w:num>
  <w:num w:numId="2" w16cid:durableId="2014919276">
    <w:abstractNumId w:val="18"/>
  </w:num>
  <w:num w:numId="3" w16cid:durableId="1860239625">
    <w:abstractNumId w:val="22"/>
  </w:num>
  <w:num w:numId="4" w16cid:durableId="1775518957">
    <w:abstractNumId w:val="2"/>
  </w:num>
  <w:num w:numId="5" w16cid:durableId="1806267654">
    <w:abstractNumId w:val="8"/>
  </w:num>
  <w:num w:numId="6" w16cid:durableId="3633945">
    <w:abstractNumId w:val="17"/>
  </w:num>
  <w:num w:numId="7" w16cid:durableId="511724627">
    <w:abstractNumId w:val="11"/>
  </w:num>
  <w:num w:numId="8" w16cid:durableId="1382171356">
    <w:abstractNumId w:val="9"/>
  </w:num>
  <w:num w:numId="9" w16cid:durableId="1451969434">
    <w:abstractNumId w:val="0"/>
  </w:num>
  <w:num w:numId="10" w16cid:durableId="2120835542">
    <w:abstractNumId w:val="10"/>
  </w:num>
  <w:num w:numId="11" w16cid:durableId="1793942509">
    <w:abstractNumId w:val="7"/>
  </w:num>
  <w:num w:numId="12" w16cid:durableId="560210403">
    <w:abstractNumId w:val="5"/>
  </w:num>
  <w:num w:numId="13" w16cid:durableId="2106687022">
    <w:abstractNumId w:val="19"/>
  </w:num>
  <w:num w:numId="14" w16cid:durableId="994845763">
    <w:abstractNumId w:val="4"/>
  </w:num>
  <w:num w:numId="15" w16cid:durableId="1625842770">
    <w:abstractNumId w:val="15"/>
  </w:num>
  <w:num w:numId="16" w16cid:durableId="1643776166">
    <w:abstractNumId w:val="23"/>
  </w:num>
  <w:num w:numId="17" w16cid:durableId="932980774">
    <w:abstractNumId w:val="21"/>
  </w:num>
  <w:num w:numId="18" w16cid:durableId="2111001463">
    <w:abstractNumId w:val="20"/>
  </w:num>
  <w:num w:numId="19" w16cid:durableId="848058227">
    <w:abstractNumId w:val="1"/>
  </w:num>
  <w:num w:numId="20" w16cid:durableId="1117678493">
    <w:abstractNumId w:val="12"/>
  </w:num>
  <w:num w:numId="21" w16cid:durableId="1423573149">
    <w:abstractNumId w:val="16"/>
  </w:num>
  <w:num w:numId="22" w16cid:durableId="165707719">
    <w:abstractNumId w:val="6"/>
  </w:num>
  <w:num w:numId="23" w16cid:durableId="185482824">
    <w:abstractNumId w:val="3"/>
  </w:num>
  <w:num w:numId="24" w16cid:durableId="3943538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9FF"/>
    <w:rsid w:val="00053ACC"/>
    <w:rsid w:val="00096B13"/>
    <w:rsid w:val="00097BCB"/>
    <w:rsid w:val="00097E38"/>
    <w:rsid w:val="000A7C98"/>
    <w:rsid w:val="000A7FC6"/>
    <w:rsid w:val="000C52BF"/>
    <w:rsid w:val="001166DA"/>
    <w:rsid w:val="00191769"/>
    <w:rsid w:val="00195CAF"/>
    <w:rsid w:val="00203212"/>
    <w:rsid w:val="00216C6D"/>
    <w:rsid w:val="00285BFA"/>
    <w:rsid w:val="002A2D71"/>
    <w:rsid w:val="002E09FF"/>
    <w:rsid w:val="00320B2E"/>
    <w:rsid w:val="00326B14"/>
    <w:rsid w:val="00366083"/>
    <w:rsid w:val="003A56B3"/>
    <w:rsid w:val="003E6AFD"/>
    <w:rsid w:val="003E7F0E"/>
    <w:rsid w:val="003F5387"/>
    <w:rsid w:val="004074D1"/>
    <w:rsid w:val="0048584C"/>
    <w:rsid w:val="004A287C"/>
    <w:rsid w:val="004A2C87"/>
    <w:rsid w:val="004C624B"/>
    <w:rsid w:val="00527878"/>
    <w:rsid w:val="0054101E"/>
    <w:rsid w:val="005A595D"/>
    <w:rsid w:val="005B34E8"/>
    <w:rsid w:val="005E0085"/>
    <w:rsid w:val="00607511"/>
    <w:rsid w:val="0069695D"/>
    <w:rsid w:val="006A6DB0"/>
    <w:rsid w:val="006D5135"/>
    <w:rsid w:val="00720918"/>
    <w:rsid w:val="00737AC0"/>
    <w:rsid w:val="00777C0A"/>
    <w:rsid w:val="007C5068"/>
    <w:rsid w:val="00821A01"/>
    <w:rsid w:val="0084109B"/>
    <w:rsid w:val="008B2B8A"/>
    <w:rsid w:val="00981EF9"/>
    <w:rsid w:val="00997296"/>
    <w:rsid w:val="009A19AA"/>
    <w:rsid w:val="009B2254"/>
    <w:rsid w:val="009D41CF"/>
    <w:rsid w:val="009D69AC"/>
    <w:rsid w:val="00A00F7E"/>
    <w:rsid w:val="00A01CAD"/>
    <w:rsid w:val="00A52E49"/>
    <w:rsid w:val="00A9645D"/>
    <w:rsid w:val="00AA5A06"/>
    <w:rsid w:val="00AC5D23"/>
    <w:rsid w:val="00AE7CF2"/>
    <w:rsid w:val="00B042DF"/>
    <w:rsid w:val="00B6465E"/>
    <w:rsid w:val="00B72B91"/>
    <w:rsid w:val="00B73D97"/>
    <w:rsid w:val="00B82C2C"/>
    <w:rsid w:val="00B942E6"/>
    <w:rsid w:val="00B945E8"/>
    <w:rsid w:val="00BD73DA"/>
    <w:rsid w:val="00BE227F"/>
    <w:rsid w:val="00BE28EE"/>
    <w:rsid w:val="00BE470F"/>
    <w:rsid w:val="00C24921"/>
    <w:rsid w:val="00C30BCD"/>
    <w:rsid w:val="00C36A08"/>
    <w:rsid w:val="00C47F41"/>
    <w:rsid w:val="00CA4B28"/>
    <w:rsid w:val="00CD0F28"/>
    <w:rsid w:val="00CE5FB6"/>
    <w:rsid w:val="00D113B1"/>
    <w:rsid w:val="00D11436"/>
    <w:rsid w:val="00DC5B19"/>
    <w:rsid w:val="00DE77BF"/>
    <w:rsid w:val="00DF2402"/>
    <w:rsid w:val="00E11983"/>
    <w:rsid w:val="00E14130"/>
    <w:rsid w:val="00E1477D"/>
    <w:rsid w:val="00E15963"/>
    <w:rsid w:val="00E3540F"/>
    <w:rsid w:val="00E43F4F"/>
    <w:rsid w:val="00E460E1"/>
    <w:rsid w:val="00E5608B"/>
    <w:rsid w:val="00E562DA"/>
    <w:rsid w:val="00EC7AE1"/>
    <w:rsid w:val="00ED4961"/>
    <w:rsid w:val="00F32B06"/>
    <w:rsid w:val="00F83EEA"/>
    <w:rsid w:val="00FB72AE"/>
    <w:rsid w:val="00FD49F0"/>
    <w:rsid w:val="00FF73E1"/>
    <w:rsid w:val="3C45DB57"/>
    <w:rsid w:val="4FF4D9EB"/>
    <w:rsid w:val="6535F570"/>
    <w:rsid w:val="7B0B9A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9B67D"/>
  <w15:chartTrackingRefBased/>
  <w15:docId w15:val="{54E26856-0B9A-4ECF-AA13-7BECEABD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before="24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2BF"/>
    <w:rPr>
      <w:rFonts w:eastAsiaTheme="minorEastAsia"/>
      <w:kern w:val="0"/>
      <w:lang w:val="en-US"/>
      <w14:ligatures w14:val="none"/>
    </w:rPr>
  </w:style>
  <w:style w:type="paragraph" w:styleId="Heading1">
    <w:name w:val="heading 1"/>
    <w:basedOn w:val="Normal"/>
    <w:next w:val="Normal"/>
    <w:link w:val="Heading1Char"/>
    <w:uiPriority w:val="9"/>
    <w:qFormat/>
    <w:rsid w:val="00DC5B19"/>
    <w:pPr>
      <w:keepNext/>
      <w:keepLines/>
      <w:spacing w:before="120" w:after="240" w:line="36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2E09F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821A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1A0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B19"/>
    <w:rPr>
      <w:rFonts w:asciiTheme="majorHAnsi" w:eastAsiaTheme="majorEastAsia" w:hAnsiTheme="majorHAnsi" w:cstheme="majorBidi"/>
      <w:color w:val="2F5496" w:themeColor="accent1" w:themeShade="BF"/>
      <w:kern w:val="0"/>
      <w:sz w:val="30"/>
      <w:szCs w:val="30"/>
      <w:lang w:val="en-US"/>
      <w14:ligatures w14:val="none"/>
    </w:rPr>
  </w:style>
  <w:style w:type="character" w:customStyle="1" w:styleId="Heading2Char">
    <w:name w:val="Heading 2 Char"/>
    <w:basedOn w:val="DefaultParagraphFont"/>
    <w:link w:val="Heading2"/>
    <w:uiPriority w:val="9"/>
    <w:rsid w:val="002E09FF"/>
    <w:rPr>
      <w:rFonts w:asciiTheme="majorHAnsi" w:eastAsiaTheme="majorEastAsia" w:hAnsiTheme="majorHAnsi" w:cstheme="majorBidi"/>
      <w:color w:val="C45911" w:themeColor="accent2" w:themeShade="BF"/>
      <w:kern w:val="0"/>
      <w:sz w:val="28"/>
      <w:szCs w:val="28"/>
      <w:lang w:val="en-US"/>
      <w14:ligatures w14:val="none"/>
    </w:rPr>
  </w:style>
  <w:style w:type="paragraph" w:styleId="Title">
    <w:name w:val="Title"/>
    <w:basedOn w:val="Normal"/>
    <w:next w:val="Normal"/>
    <w:link w:val="TitleChar"/>
    <w:uiPriority w:val="10"/>
    <w:qFormat/>
    <w:rsid w:val="002E09F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2E09FF"/>
    <w:rPr>
      <w:rFonts w:asciiTheme="majorHAnsi" w:eastAsiaTheme="majorEastAsia" w:hAnsiTheme="majorHAnsi" w:cstheme="majorBidi"/>
      <w:color w:val="2F5496" w:themeColor="accent1" w:themeShade="BF"/>
      <w:spacing w:val="-10"/>
      <w:kern w:val="0"/>
      <w:sz w:val="52"/>
      <w:szCs w:val="52"/>
      <w:lang w:val="en-US"/>
      <w14:ligatures w14:val="none"/>
    </w:rPr>
  </w:style>
  <w:style w:type="character" w:styleId="IntenseEmphasis">
    <w:name w:val="Intense Emphasis"/>
    <w:basedOn w:val="DefaultParagraphFont"/>
    <w:uiPriority w:val="21"/>
    <w:qFormat/>
    <w:rsid w:val="002E09FF"/>
    <w:rPr>
      <w:b w:val="0"/>
      <w:bCs w:val="0"/>
      <w:i/>
      <w:iCs/>
      <w:color w:val="4472C4" w:themeColor="accent1"/>
    </w:rPr>
  </w:style>
  <w:style w:type="paragraph" w:styleId="TOCHeading">
    <w:name w:val="TOC Heading"/>
    <w:basedOn w:val="Heading1"/>
    <w:next w:val="Normal"/>
    <w:uiPriority w:val="39"/>
    <w:unhideWhenUsed/>
    <w:qFormat/>
    <w:rsid w:val="002E09FF"/>
    <w:pPr>
      <w:outlineLvl w:val="9"/>
    </w:pPr>
  </w:style>
  <w:style w:type="paragraph" w:styleId="ListParagraph">
    <w:name w:val="List Paragraph"/>
    <w:basedOn w:val="Normal"/>
    <w:uiPriority w:val="34"/>
    <w:qFormat/>
    <w:rsid w:val="002E09FF"/>
    <w:pPr>
      <w:ind w:left="720"/>
      <w:contextualSpacing/>
    </w:pPr>
  </w:style>
  <w:style w:type="character" w:styleId="Hyperlink">
    <w:name w:val="Hyperlink"/>
    <w:basedOn w:val="DefaultParagraphFont"/>
    <w:uiPriority w:val="99"/>
    <w:unhideWhenUsed/>
    <w:rsid w:val="002E09FF"/>
    <w:rPr>
      <w:color w:val="0563C1" w:themeColor="hyperlink"/>
      <w:u w:val="single"/>
    </w:rPr>
  </w:style>
  <w:style w:type="table" w:styleId="TableGrid">
    <w:name w:val="Table Grid"/>
    <w:basedOn w:val="TableNormal"/>
    <w:uiPriority w:val="39"/>
    <w:rsid w:val="002E09FF"/>
    <w:pPr>
      <w:spacing w:after="0" w:line="240" w:lineRule="auto"/>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0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9FF"/>
    <w:rPr>
      <w:rFonts w:eastAsiaTheme="minorEastAsia"/>
      <w:kern w:val="0"/>
      <w:lang w:val="en-US"/>
      <w14:ligatures w14:val="none"/>
    </w:rPr>
  </w:style>
  <w:style w:type="paragraph" w:styleId="Footer">
    <w:name w:val="footer"/>
    <w:basedOn w:val="Normal"/>
    <w:link w:val="FooterChar"/>
    <w:uiPriority w:val="99"/>
    <w:unhideWhenUsed/>
    <w:rsid w:val="002E0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9FF"/>
    <w:rPr>
      <w:rFonts w:eastAsiaTheme="minorEastAsia"/>
      <w:kern w:val="0"/>
      <w:lang w:val="en-US"/>
      <w14:ligatures w14:val="none"/>
    </w:rPr>
  </w:style>
  <w:style w:type="paragraph" w:styleId="TOC1">
    <w:name w:val="toc 1"/>
    <w:basedOn w:val="Normal"/>
    <w:next w:val="Normal"/>
    <w:autoRedefine/>
    <w:uiPriority w:val="39"/>
    <w:unhideWhenUsed/>
    <w:rsid w:val="002E09FF"/>
    <w:pPr>
      <w:tabs>
        <w:tab w:val="left" w:pos="440"/>
        <w:tab w:val="right" w:leader="dot" w:pos="9350"/>
      </w:tabs>
      <w:spacing w:after="100"/>
    </w:pPr>
  </w:style>
  <w:style w:type="table" w:styleId="PlainTable4">
    <w:name w:val="Plain Table 4"/>
    <w:basedOn w:val="TableNormal"/>
    <w:uiPriority w:val="44"/>
    <w:rsid w:val="002E09F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EC7AE1"/>
    <w:rPr>
      <w:rFonts w:ascii="Times New Roman" w:hAnsi="Times New Roman" w:cs="Times New Roman"/>
      <w:sz w:val="24"/>
      <w:szCs w:val="24"/>
    </w:rPr>
  </w:style>
  <w:style w:type="paragraph" w:styleId="Revision">
    <w:name w:val="Revision"/>
    <w:hidden/>
    <w:uiPriority w:val="99"/>
    <w:semiHidden/>
    <w:rsid w:val="00821A01"/>
    <w:pPr>
      <w:spacing w:before="0" w:after="0" w:line="240" w:lineRule="auto"/>
    </w:pPr>
    <w:rPr>
      <w:rFonts w:eastAsiaTheme="minorEastAsia"/>
      <w:kern w:val="0"/>
      <w:lang w:val="en-US"/>
      <w14:ligatures w14:val="none"/>
    </w:rPr>
  </w:style>
  <w:style w:type="character" w:customStyle="1" w:styleId="Heading3Char">
    <w:name w:val="Heading 3 Char"/>
    <w:basedOn w:val="DefaultParagraphFont"/>
    <w:link w:val="Heading3"/>
    <w:uiPriority w:val="9"/>
    <w:semiHidden/>
    <w:rsid w:val="00821A01"/>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Heading4Char">
    <w:name w:val="Heading 4 Char"/>
    <w:basedOn w:val="DefaultParagraphFont"/>
    <w:link w:val="Heading4"/>
    <w:uiPriority w:val="9"/>
    <w:semiHidden/>
    <w:rsid w:val="00821A01"/>
    <w:rPr>
      <w:rFonts w:asciiTheme="majorHAnsi" w:eastAsiaTheme="majorEastAsia" w:hAnsiTheme="majorHAnsi" w:cstheme="majorBidi"/>
      <w:i/>
      <w:iCs/>
      <w:color w:val="2F5496" w:themeColor="accent1" w:themeShade="BF"/>
      <w:kern w:val="0"/>
      <w:lang w:val="en-US"/>
      <w14:ligatures w14:val="none"/>
    </w:rPr>
  </w:style>
  <w:style w:type="character" w:styleId="UnresolvedMention">
    <w:name w:val="Unresolved Mention"/>
    <w:basedOn w:val="DefaultParagraphFont"/>
    <w:uiPriority w:val="99"/>
    <w:semiHidden/>
    <w:unhideWhenUsed/>
    <w:rsid w:val="001166DA"/>
    <w:rPr>
      <w:color w:val="605E5C"/>
      <w:shd w:val="clear" w:color="auto" w:fill="E1DFDD"/>
    </w:rPr>
  </w:style>
  <w:style w:type="character" w:styleId="CommentReference">
    <w:name w:val="annotation reference"/>
    <w:basedOn w:val="DefaultParagraphFont"/>
    <w:uiPriority w:val="99"/>
    <w:semiHidden/>
    <w:unhideWhenUsed/>
    <w:rsid w:val="00A01CAD"/>
    <w:rPr>
      <w:sz w:val="16"/>
      <w:szCs w:val="16"/>
    </w:rPr>
  </w:style>
  <w:style w:type="paragraph" w:styleId="CommentText">
    <w:name w:val="annotation text"/>
    <w:basedOn w:val="Normal"/>
    <w:link w:val="CommentTextChar"/>
    <w:uiPriority w:val="99"/>
    <w:unhideWhenUsed/>
    <w:rsid w:val="00A01CAD"/>
    <w:pPr>
      <w:spacing w:line="240" w:lineRule="auto"/>
    </w:pPr>
    <w:rPr>
      <w:sz w:val="20"/>
      <w:szCs w:val="20"/>
    </w:rPr>
  </w:style>
  <w:style w:type="character" w:customStyle="1" w:styleId="CommentTextChar">
    <w:name w:val="Comment Text Char"/>
    <w:basedOn w:val="DefaultParagraphFont"/>
    <w:link w:val="CommentText"/>
    <w:uiPriority w:val="99"/>
    <w:rsid w:val="00A01CAD"/>
    <w:rPr>
      <w:rFonts w:eastAsiaTheme="minorEastAsia"/>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A01CAD"/>
    <w:rPr>
      <w:b/>
      <w:bCs/>
    </w:rPr>
  </w:style>
  <w:style w:type="character" w:customStyle="1" w:styleId="CommentSubjectChar">
    <w:name w:val="Comment Subject Char"/>
    <w:basedOn w:val="CommentTextChar"/>
    <w:link w:val="CommentSubject"/>
    <w:uiPriority w:val="99"/>
    <w:semiHidden/>
    <w:rsid w:val="00A01CAD"/>
    <w:rPr>
      <w:rFonts w:eastAsiaTheme="minorEastAsia"/>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76935">
      <w:bodyDiv w:val="1"/>
      <w:marLeft w:val="0"/>
      <w:marRight w:val="0"/>
      <w:marTop w:val="0"/>
      <w:marBottom w:val="0"/>
      <w:divBdr>
        <w:top w:val="none" w:sz="0" w:space="0" w:color="auto"/>
        <w:left w:val="none" w:sz="0" w:space="0" w:color="auto"/>
        <w:bottom w:val="none" w:sz="0" w:space="0" w:color="auto"/>
        <w:right w:val="none" w:sz="0" w:space="0" w:color="auto"/>
      </w:divBdr>
    </w:div>
    <w:div w:id="166482829">
      <w:bodyDiv w:val="1"/>
      <w:marLeft w:val="0"/>
      <w:marRight w:val="0"/>
      <w:marTop w:val="0"/>
      <w:marBottom w:val="0"/>
      <w:divBdr>
        <w:top w:val="none" w:sz="0" w:space="0" w:color="auto"/>
        <w:left w:val="none" w:sz="0" w:space="0" w:color="auto"/>
        <w:bottom w:val="none" w:sz="0" w:space="0" w:color="auto"/>
        <w:right w:val="none" w:sz="0" w:space="0" w:color="auto"/>
      </w:divBdr>
      <w:divsChild>
        <w:div w:id="1409379045">
          <w:marLeft w:val="0"/>
          <w:marRight w:val="0"/>
          <w:marTop w:val="0"/>
          <w:marBottom w:val="0"/>
          <w:divBdr>
            <w:top w:val="none" w:sz="0" w:space="0" w:color="auto"/>
            <w:left w:val="none" w:sz="0" w:space="0" w:color="auto"/>
            <w:bottom w:val="none" w:sz="0" w:space="0" w:color="auto"/>
            <w:right w:val="none" w:sz="0" w:space="0" w:color="auto"/>
          </w:divBdr>
          <w:divsChild>
            <w:div w:id="464275246">
              <w:marLeft w:val="0"/>
              <w:marRight w:val="0"/>
              <w:marTop w:val="0"/>
              <w:marBottom w:val="0"/>
              <w:divBdr>
                <w:top w:val="none" w:sz="0" w:space="0" w:color="auto"/>
                <w:left w:val="none" w:sz="0" w:space="0" w:color="auto"/>
                <w:bottom w:val="none" w:sz="0" w:space="0" w:color="auto"/>
                <w:right w:val="none" w:sz="0" w:space="0" w:color="auto"/>
              </w:divBdr>
              <w:divsChild>
                <w:div w:id="1490558291">
                  <w:marLeft w:val="0"/>
                  <w:marRight w:val="0"/>
                  <w:marTop w:val="0"/>
                  <w:marBottom w:val="0"/>
                  <w:divBdr>
                    <w:top w:val="none" w:sz="0" w:space="0" w:color="auto"/>
                    <w:left w:val="none" w:sz="0" w:space="0" w:color="auto"/>
                    <w:bottom w:val="none" w:sz="0" w:space="0" w:color="auto"/>
                    <w:right w:val="none" w:sz="0" w:space="0" w:color="auto"/>
                  </w:divBdr>
                  <w:divsChild>
                    <w:div w:id="1938177321">
                      <w:marLeft w:val="0"/>
                      <w:marRight w:val="0"/>
                      <w:marTop w:val="0"/>
                      <w:marBottom w:val="0"/>
                      <w:divBdr>
                        <w:top w:val="none" w:sz="0" w:space="0" w:color="auto"/>
                        <w:left w:val="none" w:sz="0" w:space="0" w:color="auto"/>
                        <w:bottom w:val="none" w:sz="0" w:space="0" w:color="auto"/>
                        <w:right w:val="none" w:sz="0" w:space="0" w:color="auto"/>
                      </w:divBdr>
                      <w:divsChild>
                        <w:div w:id="29839135">
                          <w:marLeft w:val="0"/>
                          <w:marRight w:val="0"/>
                          <w:marTop w:val="0"/>
                          <w:marBottom w:val="0"/>
                          <w:divBdr>
                            <w:top w:val="none" w:sz="0" w:space="0" w:color="auto"/>
                            <w:left w:val="none" w:sz="0" w:space="0" w:color="auto"/>
                            <w:bottom w:val="none" w:sz="0" w:space="0" w:color="auto"/>
                            <w:right w:val="none" w:sz="0" w:space="0" w:color="auto"/>
                          </w:divBdr>
                          <w:divsChild>
                            <w:div w:id="187040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838064">
      <w:bodyDiv w:val="1"/>
      <w:marLeft w:val="0"/>
      <w:marRight w:val="0"/>
      <w:marTop w:val="0"/>
      <w:marBottom w:val="0"/>
      <w:divBdr>
        <w:top w:val="none" w:sz="0" w:space="0" w:color="auto"/>
        <w:left w:val="none" w:sz="0" w:space="0" w:color="auto"/>
        <w:bottom w:val="none" w:sz="0" w:space="0" w:color="auto"/>
        <w:right w:val="none" w:sz="0" w:space="0" w:color="auto"/>
      </w:divBdr>
    </w:div>
    <w:div w:id="434181000">
      <w:bodyDiv w:val="1"/>
      <w:marLeft w:val="0"/>
      <w:marRight w:val="0"/>
      <w:marTop w:val="0"/>
      <w:marBottom w:val="0"/>
      <w:divBdr>
        <w:top w:val="none" w:sz="0" w:space="0" w:color="auto"/>
        <w:left w:val="none" w:sz="0" w:space="0" w:color="auto"/>
        <w:bottom w:val="none" w:sz="0" w:space="0" w:color="auto"/>
        <w:right w:val="none" w:sz="0" w:space="0" w:color="auto"/>
      </w:divBdr>
    </w:div>
    <w:div w:id="683940239">
      <w:bodyDiv w:val="1"/>
      <w:marLeft w:val="0"/>
      <w:marRight w:val="0"/>
      <w:marTop w:val="0"/>
      <w:marBottom w:val="0"/>
      <w:divBdr>
        <w:top w:val="none" w:sz="0" w:space="0" w:color="auto"/>
        <w:left w:val="none" w:sz="0" w:space="0" w:color="auto"/>
        <w:bottom w:val="none" w:sz="0" w:space="0" w:color="auto"/>
        <w:right w:val="none" w:sz="0" w:space="0" w:color="auto"/>
      </w:divBdr>
      <w:divsChild>
        <w:div w:id="1173453166">
          <w:marLeft w:val="0"/>
          <w:marRight w:val="0"/>
          <w:marTop w:val="0"/>
          <w:marBottom w:val="0"/>
          <w:divBdr>
            <w:top w:val="none" w:sz="0" w:space="0" w:color="auto"/>
            <w:left w:val="none" w:sz="0" w:space="0" w:color="auto"/>
            <w:bottom w:val="none" w:sz="0" w:space="0" w:color="auto"/>
            <w:right w:val="none" w:sz="0" w:space="0" w:color="auto"/>
          </w:divBdr>
          <w:divsChild>
            <w:div w:id="48848124">
              <w:marLeft w:val="0"/>
              <w:marRight w:val="0"/>
              <w:marTop w:val="0"/>
              <w:marBottom w:val="0"/>
              <w:divBdr>
                <w:top w:val="none" w:sz="0" w:space="0" w:color="auto"/>
                <w:left w:val="none" w:sz="0" w:space="0" w:color="auto"/>
                <w:bottom w:val="none" w:sz="0" w:space="0" w:color="auto"/>
                <w:right w:val="none" w:sz="0" w:space="0" w:color="auto"/>
              </w:divBdr>
              <w:divsChild>
                <w:div w:id="23136623">
                  <w:marLeft w:val="0"/>
                  <w:marRight w:val="0"/>
                  <w:marTop w:val="0"/>
                  <w:marBottom w:val="0"/>
                  <w:divBdr>
                    <w:top w:val="none" w:sz="0" w:space="0" w:color="auto"/>
                    <w:left w:val="none" w:sz="0" w:space="0" w:color="auto"/>
                    <w:bottom w:val="none" w:sz="0" w:space="0" w:color="auto"/>
                    <w:right w:val="none" w:sz="0" w:space="0" w:color="auto"/>
                  </w:divBdr>
                  <w:divsChild>
                    <w:div w:id="948707207">
                      <w:marLeft w:val="0"/>
                      <w:marRight w:val="0"/>
                      <w:marTop w:val="0"/>
                      <w:marBottom w:val="0"/>
                      <w:divBdr>
                        <w:top w:val="none" w:sz="0" w:space="0" w:color="auto"/>
                        <w:left w:val="none" w:sz="0" w:space="0" w:color="auto"/>
                        <w:bottom w:val="none" w:sz="0" w:space="0" w:color="auto"/>
                        <w:right w:val="none" w:sz="0" w:space="0" w:color="auto"/>
                      </w:divBdr>
                      <w:divsChild>
                        <w:div w:id="545024562">
                          <w:marLeft w:val="0"/>
                          <w:marRight w:val="0"/>
                          <w:marTop w:val="0"/>
                          <w:marBottom w:val="0"/>
                          <w:divBdr>
                            <w:top w:val="none" w:sz="0" w:space="0" w:color="auto"/>
                            <w:left w:val="none" w:sz="0" w:space="0" w:color="auto"/>
                            <w:bottom w:val="none" w:sz="0" w:space="0" w:color="auto"/>
                            <w:right w:val="none" w:sz="0" w:space="0" w:color="auto"/>
                          </w:divBdr>
                          <w:divsChild>
                            <w:div w:id="1880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016477">
      <w:bodyDiv w:val="1"/>
      <w:marLeft w:val="0"/>
      <w:marRight w:val="0"/>
      <w:marTop w:val="0"/>
      <w:marBottom w:val="0"/>
      <w:divBdr>
        <w:top w:val="none" w:sz="0" w:space="0" w:color="auto"/>
        <w:left w:val="none" w:sz="0" w:space="0" w:color="auto"/>
        <w:bottom w:val="none" w:sz="0" w:space="0" w:color="auto"/>
        <w:right w:val="none" w:sz="0" w:space="0" w:color="auto"/>
      </w:divBdr>
    </w:div>
    <w:div w:id="207015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lementis.sharepoint.com/sites/LegalCompliance/Shared%20Documents/Forms/AllItems.aspx?id=%2Fsites%2FLegalCompliance%2FShared%20Documents%2FPolicies%2FCustomer%20and%20Supplier%20Risk%20Screening%20Policy%2FElementis%20PLC%20Policy%20Risk%20Screening%20Customers%20and%20Suppliers%20%28Third%20party%20Due%20Diligence%29%20FINAL%2029%20June%202023%2Epdf&amp;parent=%2Fsites%2FLegalCompliance%2FShared%20Documents%2FPolicies%2FCustomer%20and%20Supplier%20Risk%20Screening%20Policy" TargetMode="External"/><Relationship Id="rId18" Type="http://schemas.openxmlformats.org/officeDocument/2006/relationships/hyperlink" Target="mailto:elementis@integrity-counts.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lementis.sharepoint.com/sites/LegalCompliance/Shared%20Documents/Forms/AllItems.aspx?id=%2Fsites%2FLegalCompliance%2FShared%20Documents%2FPolicies%2FGifts%20%26%20Entertainment%20Policy%2FGifts%20and%20Entertainment%20Policy%20FINAL%20JANUARY%202022%2Epdf&amp;parent=%2Fsites%2FLegalCompliance%2FShared%20Documents%2FPolicies%2FGifts%20%26%20Entertainment%20Policy" TargetMode="External"/><Relationship Id="rId17" Type="http://schemas.openxmlformats.org/officeDocument/2006/relationships/hyperlink" Target="https://elementis.sharepoint.com/sites/LegalCompliance/Shared%20Documents/Forms/AllItems.aspx?id=%2Fsites%2FLegalCompliance%2FShared%20Documents%2FCode%20of%20Conduct%20Interactive%20PDFs%20May%202022%2FElementis%5FCode%5FInteractive%5FInternal%5F2022%2D03%2D23%20%282%29%2Epdf&amp;parent=%2Fsites%2FLegalCompliance%2FShared%20Documents%2FCode%20of%20Conduct%20Interactive%20PDFs%20May%202022" TargetMode="External"/><Relationship Id="rId2" Type="http://schemas.openxmlformats.org/officeDocument/2006/relationships/customXml" Target="../customXml/item2.xml"/><Relationship Id="rId16" Type="http://schemas.openxmlformats.org/officeDocument/2006/relationships/hyperlink" Target="https://elementis.sharepoint.com/sites/LegalCompliance/Shared%20Documents/Forms/AllItems.aspx?id=%2Fsites%2FLegalCompliance%2FShared%20Documents%2FPolicies%2FConflicts%20of%20Interest%20Policies%20PDFs%20May%202022%2FConflict%20of%20Interest%20Policy%20FINAL%20180522%20EN%2Epdf&amp;parent=%2Fsites%2FLegalCompliance%2FShared%20Documents%2FPolicies%2FConflicts%20of%20Interest%20Policies%20PDFs%20May%20202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ementis.sharepoint.com/sites/HumanResources/Policies/Forms/AllItems.aspx?id=%2Fsites%2FHumanResources%2FPolicies%2FGlobal%20Travel%20and%20Expenses%20Policy%20%2D%20Final%20%281%20June%202019%29%20%2D%20review%20December%202023%20UPDATE%20FOR%20AIR%20TRAVEL%20ONLY%2Epdf&amp;parent=%2Fsites%2FHumanResources%2FPolici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lementis.sharepoint.com/sites/LegalCompliance/Shared%20Documents/Forms/AllItems.aspx?id=%2Fsites%2FLegalCompliance%2FShared%20Documents%2FPolicies%2FAML%20Policies%20PDFs%20May%202022%2FAnti%20Money%20Laundering%20policy%20%2D%20FINAL%20clean%20ENG%2Epdf&amp;parent=%2Fsites%2FLegalCompliance%2FShared%20Documents%2FPolicies%2FAML%20Policies%20PDFs%20May%202022"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lementis.sharepoint.com/sites/LegalCompliance/Shared%20Documents/Forms/AllItems.aspx?id=%2Fsites%2FLegalCompliance%2FShared%20Documents%2FPolicies%2FWhistleblowing%20and%20Speak%20Up%20Policies%20PDFs%20May%202022%2FWhistleblowing%20policy%20Final%20draft%20clean%20090522%20EN%2Epdf&amp;parent=%2Fsites%2FLegalCompliance%2FShared%20Documents%2FPolicies%2FWhistleblowing%20and%20Speak%20Up%20Policies%20PDFs%20May%202022"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D7C033D8CA8149BDD495E215D1AD7E" ma:contentTypeVersion="4" ma:contentTypeDescription="Create a new document." ma:contentTypeScope="" ma:versionID="15454ba4be5c6db2a3d14f6310b2537b">
  <xsd:schema xmlns:xsd="http://www.w3.org/2001/XMLSchema" xmlns:xs="http://www.w3.org/2001/XMLSchema" xmlns:p="http://schemas.microsoft.com/office/2006/metadata/properties" xmlns:ns2="920cd317-a8b7-4fc2-b6b0-eac7766885cd" targetNamespace="http://schemas.microsoft.com/office/2006/metadata/properties" ma:root="true" ma:fieldsID="2455bf4a2c4c3600c0cedcdc3ab5d697" ns2:_="">
    <xsd:import namespace="920cd317-a8b7-4fc2-b6b0-eac7766885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cd317-a8b7-4fc2-b6b0-eac7766885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302A0-0201-40BD-B002-D013FFD7C332}">
  <ds:schemaRefs>
    <ds:schemaRef ds:uri="http://schemas.microsoft.com/sharepoint/v3/contenttype/forms"/>
  </ds:schemaRefs>
</ds:datastoreItem>
</file>

<file path=customXml/itemProps2.xml><?xml version="1.0" encoding="utf-8"?>
<ds:datastoreItem xmlns:ds="http://schemas.openxmlformats.org/officeDocument/2006/customXml" ds:itemID="{70D2C391-11A7-414E-B5CA-8EE4E0444A0C}">
  <ds:schemaRefs>
    <ds:schemaRef ds:uri="http://schemas.openxmlformats.org/officeDocument/2006/bibliography"/>
  </ds:schemaRefs>
</ds:datastoreItem>
</file>

<file path=customXml/itemProps3.xml><?xml version="1.0" encoding="utf-8"?>
<ds:datastoreItem xmlns:ds="http://schemas.openxmlformats.org/officeDocument/2006/customXml" ds:itemID="{82103B85-462C-4575-BA13-FFEE50980B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50ABFF-17C4-4EF7-A3D9-61D9D7A22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0cd317-a8b7-4fc2-b6b0-eac776688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2064</Words>
  <Characters>11769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Miller</dc:creator>
  <cp:keywords/>
  <dc:description/>
  <cp:lastModifiedBy>Fatima Correia da Silva</cp:lastModifiedBy>
  <cp:revision>5</cp:revision>
  <dcterms:created xsi:type="dcterms:W3CDTF">2025-05-05T09:19:00Z</dcterms:created>
  <dcterms:modified xsi:type="dcterms:W3CDTF">2025-05-13T14:39:00Z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0x010100FAD7C033D8CA8149BDD495E215D1AD7E</vt:lpwstr>
  </property>
</Properties>
</file>